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186979" w14:textId="5D6AFBD3" w:rsidR="00E77AC4" w:rsidRDefault="00E77AC4" w:rsidP="00993FBB">
      <w:pPr>
        <w:spacing w:after="200" w:line="360" w:lineRule="auto"/>
        <w:jc w:val="both"/>
        <w:rPr>
          <w:rFonts w:ascii="Arial" w:eastAsia="Calibri" w:hAnsi="Arial" w:cs="Arial"/>
          <w:b/>
          <w:bCs/>
          <w:sz w:val="24"/>
          <w:szCs w:val="24"/>
        </w:rPr>
      </w:pPr>
      <w:r w:rsidRPr="00E77AC4">
        <w:rPr>
          <w:rFonts w:ascii="Arial" w:eastAsia="Calibri" w:hAnsi="Arial" w:cs="Arial"/>
          <w:b/>
          <w:bCs/>
          <w:sz w:val="24"/>
          <w:szCs w:val="24"/>
        </w:rPr>
        <w:t>INFORME SOBRE CUMPLIMIENTO Y MEDIOS DE VERIFICACIÓN DEL HITO 3</w:t>
      </w:r>
      <w:r w:rsidR="00434871">
        <w:rPr>
          <w:rFonts w:ascii="Arial" w:eastAsia="Calibri" w:hAnsi="Arial" w:cs="Arial"/>
          <w:b/>
          <w:bCs/>
          <w:sz w:val="24"/>
          <w:szCs w:val="24"/>
        </w:rPr>
        <w:t>,</w:t>
      </w:r>
      <w:r w:rsidRPr="00E77AC4">
        <w:rPr>
          <w:rFonts w:ascii="Arial" w:eastAsia="Calibri" w:hAnsi="Arial" w:cs="Arial"/>
          <w:b/>
          <w:bCs/>
          <w:sz w:val="24"/>
          <w:szCs w:val="24"/>
        </w:rPr>
        <w:t xml:space="preserve"> GESTIÓN INTERNA DE ARCHIVOS DIGITALES DE INFORMES DE CUMPLIMIENTO A NORMATIVA INTERNACIONAL EN MATERIA DE DERECHOS HUMANOS DE LAS MUJERES</w:t>
      </w:r>
    </w:p>
    <w:p w14:paraId="18382CCF" w14:textId="5F63EA17" w:rsidR="007E51E2" w:rsidRPr="00993FBB" w:rsidRDefault="00000000" w:rsidP="00993FBB">
      <w:pPr>
        <w:spacing w:after="200" w:line="360" w:lineRule="auto"/>
        <w:jc w:val="both"/>
        <w:rPr>
          <w:rFonts w:ascii="Arial" w:hAnsi="Arial" w:cs="Arial"/>
          <w:sz w:val="24"/>
          <w:szCs w:val="24"/>
        </w:rPr>
      </w:pPr>
      <w:r>
        <w:rPr>
          <w:rFonts w:ascii="Arial" w:eastAsia="Calibri" w:hAnsi="Arial" w:cs="Arial"/>
          <w:sz w:val="24"/>
          <w:szCs w:val="24"/>
        </w:rPr>
        <w:t>La Secretaría Presidencial de la Mujer (SEPREM), en su calidad de ente rector de las políticas públicas para el desarrollo integral de las mujeres, articula su mandato con la agenda de Gobierno Abierto para transformar los compromisos de igualdad en la gestión pública a través de la transparencia, la rendición de cuentas, la participación ciudadana y la innovación tecnológica.</w:t>
      </w:r>
    </w:p>
    <w:p w14:paraId="3E1BC143" w14:textId="77777777" w:rsidR="007E51E2" w:rsidRPr="00993FBB" w:rsidRDefault="00000000" w:rsidP="00993FBB">
      <w:pPr>
        <w:spacing w:after="200" w:line="360" w:lineRule="auto"/>
        <w:jc w:val="both"/>
        <w:rPr>
          <w:rFonts w:ascii="Arial" w:hAnsi="Arial" w:cs="Arial"/>
          <w:sz w:val="24"/>
          <w:szCs w:val="24"/>
        </w:rPr>
      </w:pPr>
      <w:r>
        <w:rPr>
          <w:rFonts w:ascii="Arial" w:eastAsia="Calibri" w:hAnsi="Arial" w:cs="Arial"/>
          <w:sz w:val="24"/>
          <w:szCs w:val="24"/>
        </w:rPr>
        <w:t>El 7.º Plan de Acción Nacional de Gobierno Abierto 2026-2027 consolida las prioridades de la sociedad civil en cuatro ejes normativos:</w:t>
      </w:r>
    </w:p>
    <w:p w14:paraId="49D20CCB" w14:textId="77777777" w:rsidR="007E51E2" w:rsidRPr="00993FBB" w:rsidRDefault="00000000" w:rsidP="00993FBB">
      <w:pPr>
        <w:pStyle w:val="Prrafodelista"/>
        <w:numPr>
          <w:ilvl w:val="0"/>
          <w:numId w:val="2"/>
        </w:numPr>
        <w:spacing w:after="80" w:line="360" w:lineRule="auto"/>
        <w:jc w:val="both"/>
        <w:rPr>
          <w:rFonts w:ascii="Arial" w:hAnsi="Arial" w:cs="Arial"/>
          <w:sz w:val="24"/>
          <w:szCs w:val="24"/>
        </w:rPr>
      </w:pPr>
      <w:r>
        <w:rPr>
          <w:rFonts w:ascii="Arial" w:eastAsia="Calibri" w:hAnsi="Arial" w:cs="Arial"/>
          <w:sz w:val="24"/>
          <w:szCs w:val="24"/>
        </w:rPr>
        <w:t>Seguridad Alimentaria y Nutricional</w:t>
      </w:r>
    </w:p>
    <w:p w14:paraId="1A419F57" w14:textId="77777777" w:rsidR="007E51E2" w:rsidRPr="00993FBB" w:rsidRDefault="00000000" w:rsidP="00993FBB">
      <w:pPr>
        <w:pStyle w:val="Prrafodelista"/>
        <w:numPr>
          <w:ilvl w:val="0"/>
          <w:numId w:val="2"/>
        </w:numPr>
        <w:spacing w:after="80" w:line="360" w:lineRule="auto"/>
        <w:jc w:val="both"/>
        <w:rPr>
          <w:rFonts w:ascii="Arial" w:hAnsi="Arial" w:cs="Arial"/>
          <w:sz w:val="24"/>
          <w:szCs w:val="24"/>
        </w:rPr>
      </w:pPr>
      <w:r>
        <w:rPr>
          <w:rFonts w:ascii="Arial" w:eastAsia="Calibri" w:hAnsi="Arial" w:cs="Arial"/>
          <w:sz w:val="24"/>
          <w:szCs w:val="24"/>
        </w:rPr>
        <w:t>Prevención de la Violencia contra las Mujeres</w:t>
      </w:r>
    </w:p>
    <w:p w14:paraId="628A8D0B" w14:textId="77777777" w:rsidR="007E51E2" w:rsidRPr="00993FBB" w:rsidRDefault="00000000" w:rsidP="00993FBB">
      <w:pPr>
        <w:pStyle w:val="Prrafodelista"/>
        <w:numPr>
          <w:ilvl w:val="0"/>
          <w:numId w:val="2"/>
        </w:numPr>
        <w:spacing w:after="80" w:line="360" w:lineRule="auto"/>
        <w:jc w:val="both"/>
        <w:rPr>
          <w:rFonts w:ascii="Arial" w:hAnsi="Arial" w:cs="Arial"/>
          <w:sz w:val="24"/>
          <w:szCs w:val="24"/>
        </w:rPr>
      </w:pPr>
      <w:r>
        <w:rPr>
          <w:rFonts w:ascii="Arial" w:eastAsia="Calibri" w:hAnsi="Arial" w:cs="Arial"/>
          <w:sz w:val="24"/>
          <w:szCs w:val="24"/>
        </w:rPr>
        <w:t>Migración</w:t>
      </w:r>
    </w:p>
    <w:p w14:paraId="7851C0ED" w14:textId="77777777" w:rsidR="007E51E2" w:rsidRPr="00993FBB" w:rsidRDefault="00000000" w:rsidP="00993FBB">
      <w:pPr>
        <w:pStyle w:val="Prrafodelista"/>
        <w:numPr>
          <w:ilvl w:val="0"/>
          <w:numId w:val="2"/>
        </w:numPr>
        <w:spacing w:after="80" w:line="360" w:lineRule="auto"/>
        <w:jc w:val="both"/>
        <w:rPr>
          <w:rFonts w:ascii="Arial" w:hAnsi="Arial" w:cs="Arial"/>
          <w:sz w:val="24"/>
          <w:szCs w:val="24"/>
        </w:rPr>
      </w:pPr>
      <w:r>
        <w:rPr>
          <w:rFonts w:ascii="Arial" w:eastAsia="Calibri" w:hAnsi="Arial" w:cs="Arial"/>
          <w:sz w:val="24"/>
          <w:szCs w:val="24"/>
        </w:rPr>
        <w:t>Medio Ambiente</w:t>
      </w:r>
    </w:p>
    <w:p w14:paraId="73632D72" w14:textId="77777777" w:rsidR="007E51E2" w:rsidRPr="00993FBB" w:rsidRDefault="00000000" w:rsidP="00993FBB">
      <w:pPr>
        <w:spacing w:after="220" w:line="360" w:lineRule="auto"/>
        <w:jc w:val="both"/>
        <w:rPr>
          <w:rFonts w:ascii="Arial" w:hAnsi="Arial" w:cs="Arial"/>
          <w:sz w:val="24"/>
          <w:szCs w:val="24"/>
        </w:rPr>
      </w:pPr>
      <w:r>
        <w:rPr>
          <w:rFonts w:ascii="Arial" w:eastAsia="Calibri" w:hAnsi="Arial" w:cs="Arial"/>
          <w:sz w:val="24"/>
          <w:szCs w:val="24"/>
        </w:rPr>
        <w:t>Para el cumplimiento del Eje de Prevención de la Violencia contra las Mujeres, la SEPREM lidera el fortalecimiento de capacidades técnicas y la habilitación de los medios de verificación vinculados a los hitos comprometidos.</w:t>
      </w:r>
    </w:p>
    <w:p w14:paraId="3ED3573D" w14:textId="77777777" w:rsidR="007E51E2" w:rsidRPr="00993FBB" w:rsidRDefault="00000000" w:rsidP="00993FBB">
      <w:pPr>
        <w:spacing w:after="200" w:line="360" w:lineRule="auto"/>
        <w:jc w:val="both"/>
        <w:rPr>
          <w:rFonts w:ascii="Arial" w:hAnsi="Arial" w:cs="Arial"/>
          <w:sz w:val="24"/>
          <w:szCs w:val="24"/>
        </w:rPr>
      </w:pPr>
      <w:r>
        <w:rPr>
          <w:rFonts w:ascii="Arial" w:eastAsia="Calibri" w:hAnsi="Arial" w:cs="Arial"/>
          <w:sz w:val="24"/>
          <w:szCs w:val="24"/>
        </w:rPr>
        <w:t>De tal manera, en esta ocasión se presenta el medio de verificación de la actividad PVCM-H3-A1 «Gestión interna de archivos digitales de Informes de cumplimiento a normativa internacional en materia de Derechos Humanos de las Mujeres», correspondiente al hito:</w:t>
      </w:r>
    </w:p>
    <w:p w14:paraId="4CC69D7F" w14:textId="77777777" w:rsidR="007E51E2" w:rsidRPr="00993FBB" w:rsidRDefault="005F74B6" w:rsidP="00993FBB">
      <w:pPr>
        <w:spacing w:after="240" w:line="360" w:lineRule="auto"/>
        <w:jc w:val="both"/>
        <w:rPr>
          <w:rFonts w:ascii="Arial" w:hAnsi="Arial" w:cs="Arial"/>
          <w:sz w:val="24"/>
          <w:szCs w:val="24"/>
        </w:rPr>
      </w:pPr>
      <w:r>
        <w:rPr>
          <w:rFonts w:ascii="Arial" w:eastAsia="Calibri" w:hAnsi="Arial" w:cs="Arial"/>
          <w:i/>
          <w:iCs/>
          <w:sz w:val="24"/>
          <w:szCs w:val="24"/>
        </w:rPr>
        <w:t>“Facilitar y socializar información sobre el cumplimiento de los convenios internacionales en materia de derechos humanos de las mujeres por medio de formatos accesibles en el portal de SEPREM”, con fecha de cumplimiento al 31 de julio de 2026.</w:t>
      </w:r>
    </w:p>
    <w:p w14:paraId="7A94DEE9" w14:textId="77777777" w:rsidR="007E51E2" w:rsidRPr="00993FBB" w:rsidRDefault="00000000" w:rsidP="00993FBB">
      <w:pPr>
        <w:spacing w:after="200" w:line="360" w:lineRule="auto"/>
        <w:jc w:val="both"/>
        <w:rPr>
          <w:rFonts w:ascii="Arial" w:hAnsi="Arial" w:cs="Arial"/>
          <w:sz w:val="24"/>
          <w:szCs w:val="24"/>
        </w:rPr>
      </w:pPr>
      <w:r>
        <w:rPr>
          <w:rFonts w:ascii="Arial" w:eastAsia="Calibri" w:hAnsi="Arial" w:cs="Arial"/>
          <w:sz w:val="24"/>
          <w:szCs w:val="24"/>
        </w:rPr>
        <w:t xml:space="preserve">Para el cumplimiento de este hito, la SEPREM recibió y verificó los archivos digitales de los informes de Estado remitidos por las unidades sustantivas, los organizó conforme a </w:t>
      </w:r>
      <w:r>
        <w:rPr>
          <w:rFonts w:ascii="Arial" w:eastAsia="Calibri" w:hAnsi="Arial" w:cs="Arial"/>
          <w:sz w:val="24"/>
          <w:szCs w:val="24"/>
        </w:rPr>
        <w:lastRenderedPageBreak/>
        <w:t>una estructura temática y cronológica, y habilitó la sección «Hitos» dentro del portal institucional con acceso público y sin restricciones de descarga. Los documentos fueron publicados en formatos accesibles, priorizando su disponibilidad en PDF y en formato editable, a fin de promover los datos abiertos y fortalecer la transparencia.</w:t>
      </w:r>
    </w:p>
    <w:p w14:paraId="3C387F50" w14:textId="77777777" w:rsidR="007E51E2" w:rsidRPr="00993FBB" w:rsidRDefault="00000000" w:rsidP="00993FBB">
      <w:pPr>
        <w:spacing w:after="200" w:line="360" w:lineRule="auto"/>
        <w:jc w:val="both"/>
        <w:rPr>
          <w:rFonts w:ascii="Arial" w:hAnsi="Arial" w:cs="Arial"/>
          <w:sz w:val="24"/>
          <w:szCs w:val="24"/>
        </w:rPr>
      </w:pPr>
      <w:r>
        <w:rPr>
          <w:rFonts w:ascii="Arial" w:eastAsia="Calibri" w:hAnsi="Arial" w:cs="Arial"/>
          <w:sz w:val="24"/>
          <w:szCs w:val="24"/>
        </w:rPr>
        <w:t>La información publicada se encuentra organizada en las siguientes categorías:</w:t>
      </w:r>
    </w:p>
    <w:p w14:paraId="5E7904D7" w14:textId="77777777" w:rsidR="007E51E2" w:rsidRPr="00993FBB" w:rsidRDefault="00000000" w:rsidP="00993FBB">
      <w:pPr>
        <w:pStyle w:val="Prrafodelista"/>
        <w:numPr>
          <w:ilvl w:val="0"/>
          <w:numId w:val="3"/>
        </w:numPr>
        <w:spacing w:after="120" w:line="360" w:lineRule="auto"/>
        <w:jc w:val="both"/>
        <w:rPr>
          <w:rFonts w:ascii="Arial" w:hAnsi="Arial" w:cs="Arial"/>
          <w:sz w:val="24"/>
          <w:szCs w:val="24"/>
        </w:rPr>
      </w:pPr>
      <w:r>
        <w:rPr>
          <w:rFonts w:ascii="Arial" w:eastAsia="Calibri" w:hAnsi="Arial" w:cs="Arial"/>
          <w:sz w:val="24"/>
          <w:szCs w:val="24"/>
        </w:rPr>
        <w:t>Tratados y convenios internacionales, que incluye el marco normativo y de política pública vinculado a la PNPDIM.</w:t>
      </w:r>
    </w:p>
    <w:p w14:paraId="63BB91B5" w14:textId="77777777" w:rsidR="007E51E2" w:rsidRPr="00993FBB" w:rsidRDefault="00000000" w:rsidP="00993FBB">
      <w:pPr>
        <w:pStyle w:val="Prrafodelista"/>
        <w:numPr>
          <w:ilvl w:val="0"/>
          <w:numId w:val="3"/>
        </w:numPr>
        <w:spacing w:after="120" w:line="360" w:lineRule="auto"/>
        <w:jc w:val="both"/>
        <w:rPr>
          <w:rFonts w:ascii="Arial" w:hAnsi="Arial" w:cs="Arial"/>
          <w:sz w:val="24"/>
          <w:szCs w:val="24"/>
        </w:rPr>
      </w:pPr>
      <w:r>
        <w:rPr>
          <w:rFonts w:ascii="Arial" w:eastAsia="Calibri" w:hAnsi="Arial" w:cs="Arial"/>
          <w:sz w:val="24"/>
          <w:szCs w:val="24"/>
        </w:rPr>
        <w:t>Informes CEDAW, correspondientes a los informes periódicos del Estado de Guatemala ante el Comité para la Eliminación de la Discriminación contra la Mujer, junto con sus anexos, listas de cuestiones y observaciones finales.</w:t>
      </w:r>
    </w:p>
    <w:p w14:paraId="2DD1B248" w14:textId="77777777" w:rsidR="007E51E2" w:rsidRPr="00993FBB" w:rsidRDefault="00000000" w:rsidP="00993FBB">
      <w:pPr>
        <w:pStyle w:val="Prrafodelista"/>
        <w:numPr>
          <w:ilvl w:val="0"/>
          <w:numId w:val="3"/>
        </w:numPr>
        <w:spacing w:after="120" w:line="360" w:lineRule="auto"/>
        <w:jc w:val="both"/>
        <w:rPr>
          <w:rFonts w:ascii="Arial" w:hAnsi="Arial" w:cs="Arial"/>
          <w:sz w:val="24"/>
          <w:szCs w:val="24"/>
        </w:rPr>
      </w:pPr>
      <w:r>
        <w:rPr>
          <w:rFonts w:ascii="Arial" w:eastAsia="Calibri" w:hAnsi="Arial" w:cs="Arial"/>
          <w:sz w:val="24"/>
          <w:szCs w:val="24"/>
        </w:rPr>
        <w:t>Informes Belém do Pará, relativos al seguimiento de la Convención Interamericana para Prevenir, Sancionar y Erradicar la Violencia contra la Mujer, incluidos los informes de país e indicadores de progreso de las distintas rondas de evaluación.</w:t>
      </w:r>
    </w:p>
    <w:p w14:paraId="60B152B7" w14:textId="77777777" w:rsidR="007E51E2" w:rsidRPr="00993FBB" w:rsidRDefault="00000000" w:rsidP="00993FBB">
      <w:pPr>
        <w:spacing w:after="100" w:line="360" w:lineRule="auto"/>
        <w:jc w:val="both"/>
        <w:rPr>
          <w:rFonts w:ascii="Arial" w:hAnsi="Arial" w:cs="Arial"/>
          <w:sz w:val="24"/>
          <w:szCs w:val="24"/>
        </w:rPr>
      </w:pPr>
      <w:r>
        <w:rPr>
          <w:rFonts w:ascii="Arial" w:eastAsia="Calibri" w:hAnsi="Arial" w:cs="Arial"/>
          <w:b/>
          <w:bCs/>
          <w:sz w:val="24"/>
          <w:szCs w:val="24"/>
        </w:rPr>
        <w:t>Medio de verificación 1:</w:t>
      </w:r>
    </w:p>
    <w:p w14:paraId="0DBF192A" w14:textId="77777777" w:rsidR="007E51E2" w:rsidRPr="00993FBB" w:rsidRDefault="00000000" w:rsidP="00993FBB">
      <w:pPr>
        <w:spacing w:after="240" w:line="360" w:lineRule="auto"/>
        <w:jc w:val="both"/>
        <w:rPr>
          <w:rFonts w:ascii="Arial" w:hAnsi="Arial" w:cs="Arial"/>
          <w:sz w:val="24"/>
          <w:szCs w:val="24"/>
        </w:rPr>
      </w:pPr>
      <w:r>
        <w:rPr>
          <w:rFonts w:ascii="Arial" w:eastAsia="Calibri" w:hAnsi="Arial" w:cs="Arial"/>
          <w:sz w:val="24"/>
          <w:szCs w:val="24"/>
        </w:rPr>
        <w:t xml:space="preserve">Enlace </w:t>
      </w:r>
      <w:hyperlink r:id="rId7" w:history="1">
        <w:r w:rsidR="007E51E2">
          <w:rPr>
            <w:rFonts w:ascii="Arial" w:eastAsia="Calibri" w:hAnsi="Arial" w:cs="Arial"/>
            <w:color w:val="0563C1"/>
            <w:sz w:val="24"/>
            <w:szCs w:val="24"/>
            <w:u w:val="single"/>
          </w:rPr>
          <w:t>https://seprem.gob.gt/hitos/</w:t>
        </w:r>
      </w:hyperlink>
      <w:r>
        <w:rPr>
          <w:rFonts w:ascii="Arial" w:eastAsia="Calibri" w:hAnsi="Arial" w:cs="Arial"/>
          <w:sz w:val="24"/>
          <w:szCs w:val="24"/>
        </w:rPr>
        <w:t xml:space="preserve"> donde se encuentran los informes sobre el cumplimiento de los convenios internacionales en materia de Derechos Humanos de las mujeres.</w:t>
      </w:r>
    </w:p>
    <w:p w14:paraId="77351C33" w14:textId="77777777" w:rsidR="007E51E2" w:rsidRPr="00993FBB" w:rsidRDefault="00000000" w:rsidP="00993FBB">
      <w:pPr>
        <w:spacing w:line="360" w:lineRule="auto"/>
        <w:jc w:val="both"/>
        <w:rPr>
          <w:rFonts w:ascii="Arial" w:hAnsi="Arial" w:cs="Arial"/>
          <w:sz w:val="24"/>
          <w:szCs w:val="24"/>
        </w:rPr>
      </w:pPr>
      <w:r>
        <w:rPr>
          <w:rFonts w:ascii="Arial" w:eastAsia="Calibri" w:hAnsi="Arial" w:cs="Arial"/>
          <w:sz w:val="24"/>
          <w:szCs w:val="24"/>
        </w:rPr>
        <w:t>La disponibilidad y el funcionamiento del enlace público, así como la correcta visualización y descarga de los informes publicados, fueron verificados por la Secretaría Presidencial de la Mujer.</w:t>
      </w:r>
    </w:p>
    <w:p w14:paraId="4B87B65B" w14:textId="77777777" w:rsidR="00906E42" w:rsidRDefault="00000000">
      <w:pPr>
        <w:spacing w:after="100" w:line="360" w:lineRule="auto"/>
        <w:jc w:val="both"/>
        <w:rPr>
          <w:rFonts w:ascii="Arial" w:hAnsi="Arial" w:cs="Arial"/>
          <w:sz w:val="24"/>
          <w:szCs w:val="24"/>
        </w:rPr>
      </w:pPr>
      <w:r>
        <w:rPr>
          <w:rFonts w:ascii="Arial" w:eastAsia="Calibri" w:hAnsi="Arial" w:cs="Arial"/>
          <w:b/>
          <w:bCs/>
          <w:sz w:val="24"/>
          <w:szCs w:val="24"/>
        </w:rPr>
        <w:t>Medio de verificación 2:</w:t>
      </w:r>
    </w:p>
    <w:p w14:paraId="306B9534" w14:textId="77777777" w:rsidR="00906E42" w:rsidRDefault="00000000">
      <w:pPr>
        <w:spacing w:after="240" w:line="360" w:lineRule="auto"/>
        <w:jc w:val="both"/>
        <w:rPr>
          <w:rFonts w:ascii="Arial" w:hAnsi="Arial" w:cs="Arial"/>
          <w:sz w:val="24"/>
          <w:szCs w:val="24"/>
        </w:rPr>
      </w:pPr>
      <w:r>
        <w:rPr>
          <w:rFonts w:ascii="Arial" w:eastAsia="Calibri" w:hAnsi="Arial" w:cs="Arial"/>
          <w:sz w:val="24"/>
          <w:szCs w:val="24"/>
        </w:rPr>
        <w:t>Fotografías de la plataforma institucional, correspondientes a la sección «Hitos», en las que se visualizan los informes publicados y disponibles para su consulta y descarga.</w:t>
      </w:r>
    </w:p>
    <w:p w14:paraId="2A47C50F" w14:textId="63326071" w:rsidR="00906E42" w:rsidRDefault="00A04DEE">
      <w:pPr>
        <w:spacing w:line="360" w:lineRule="auto"/>
        <w:jc w:val="both"/>
        <w:rPr>
          <w:rFonts w:ascii="Arial" w:hAnsi="Arial" w:cs="Arial"/>
          <w:sz w:val="24"/>
          <w:szCs w:val="24"/>
        </w:rPr>
      </w:pPr>
      <w:r w:rsidRPr="00A04DEE">
        <w:rPr>
          <w:rFonts w:ascii="Arial" w:hAnsi="Arial" w:cs="Arial"/>
          <w:noProof/>
          <w:sz w:val="24"/>
          <w:szCs w:val="24"/>
        </w:rPr>
        <w:lastRenderedPageBreak/>
        <w:drawing>
          <wp:inline distT="0" distB="0" distL="0" distR="0" wp14:anchorId="11D3032E" wp14:editId="6F135BD8">
            <wp:extent cx="5994400" cy="3166110"/>
            <wp:effectExtent l="0" t="0" r="6350" b="0"/>
            <wp:docPr id="2015913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13688" name=""/>
                    <pic:cNvPicPr/>
                  </pic:nvPicPr>
                  <pic:blipFill>
                    <a:blip r:embed="rId8"/>
                    <a:stretch>
                      <a:fillRect/>
                    </a:stretch>
                  </pic:blipFill>
                  <pic:spPr>
                    <a:xfrm>
                      <a:off x="0" y="0"/>
                      <a:ext cx="5994400" cy="3166110"/>
                    </a:xfrm>
                    <a:prstGeom prst="rect">
                      <a:avLst/>
                    </a:prstGeom>
                  </pic:spPr>
                </pic:pic>
              </a:graphicData>
            </a:graphic>
          </wp:inline>
        </w:drawing>
      </w:r>
      <w:r w:rsidRPr="00A04DEE">
        <w:rPr>
          <w:rFonts w:ascii="Arial" w:hAnsi="Arial" w:cs="Arial"/>
          <w:noProof/>
          <w:sz w:val="24"/>
          <w:szCs w:val="24"/>
        </w:rPr>
        <w:drawing>
          <wp:inline distT="0" distB="0" distL="0" distR="0" wp14:anchorId="1EAAB09C" wp14:editId="657EAB98">
            <wp:extent cx="5994400" cy="2625090"/>
            <wp:effectExtent l="0" t="0" r="6350" b="3810"/>
            <wp:docPr id="12687096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09655" name=""/>
                    <pic:cNvPicPr/>
                  </pic:nvPicPr>
                  <pic:blipFill>
                    <a:blip r:embed="rId9"/>
                    <a:stretch>
                      <a:fillRect/>
                    </a:stretch>
                  </pic:blipFill>
                  <pic:spPr>
                    <a:xfrm>
                      <a:off x="0" y="0"/>
                      <a:ext cx="5994400" cy="2625090"/>
                    </a:xfrm>
                    <a:prstGeom prst="rect">
                      <a:avLst/>
                    </a:prstGeom>
                  </pic:spPr>
                </pic:pic>
              </a:graphicData>
            </a:graphic>
          </wp:inline>
        </w:drawing>
      </w:r>
    </w:p>
    <w:p w14:paraId="0DECAAD8" w14:textId="77777777" w:rsidR="00A04DEE" w:rsidRDefault="00A04DEE">
      <w:pPr>
        <w:spacing w:line="360" w:lineRule="auto"/>
        <w:jc w:val="both"/>
        <w:rPr>
          <w:rFonts w:ascii="Arial" w:hAnsi="Arial" w:cs="Arial"/>
          <w:sz w:val="24"/>
          <w:szCs w:val="24"/>
        </w:rPr>
      </w:pPr>
    </w:p>
    <w:p w14:paraId="2A836FEA" w14:textId="77777777" w:rsidR="00A04DEE" w:rsidRDefault="00A04DEE">
      <w:pPr>
        <w:spacing w:line="360" w:lineRule="auto"/>
        <w:jc w:val="both"/>
        <w:rPr>
          <w:rFonts w:ascii="Arial" w:hAnsi="Arial" w:cs="Arial"/>
          <w:sz w:val="24"/>
          <w:szCs w:val="24"/>
        </w:rPr>
      </w:pPr>
    </w:p>
    <w:p w14:paraId="505D2332" w14:textId="77777777" w:rsidR="00A04DEE" w:rsidRDefault="00A04DEE">
      <w:pPr>
        <w:spacing w:line="360" w:lineRule="auto"/>
        <w:jc w:val="both"/>
        <w:rPr>
          <w:rFonts w:ascii="Arial" w:hAnsi="Arial" w:cs="Arial"/>
          <w:sz w:val="24"/>
          <w:szCs w:val="24"/>
        </w:rPr>
      </w:pPr>
    </w:p>
    <w:p w14:paraId="732180DF" w14:textId="55C4F1E9" w:rsidR="00A04DEE" w:rsidRDefault="00A04DEE" w:rsidP="00A04DEE">
      <w:pPr>
        <w:spacing w:line="360" w:lineRule="auto"/>
        <w:jc w:val="center"/>
        <w:rPr>
          <w:rFonts w:ascii="Arial" w:hAnsi="Arial" w:cs="Arial"/>
          <w:sz w:val="24"/>
          <w:szCs w:val="24"/>
        </w:rPr>
      </w:pPr>
      <w:r w:rsidRPr="00A04DEE">
        <w:rPr>
          <w:rFonts w:ascii="Arial" w:hAnsi="Arial" w:cs="Arial"/>
          <w:noProof/>
          <w:sz w:val="24"/>
          <w:szCs w:val="24"/>
        </w:rPr>
        <w:lastRenderedPageBreak/>
        <w:drawing>
          <wp:inline distT="0" distB="0" distL="0" distR="0" wp14:anchorId="7F8159DF" wp14:editId="2061C53D">
            <wp:extent cx="4183743" cy="6881456"/>
            <wp:effectExtent l="0" t="0" r="7620" b="0"/>
            <wp:docPr id="12098375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37526" name=""/>
                    <pic:cNvPicPr/>
                  </pic:nvPicPr>
                  <pic:blipFill>
                    <a:blip r:embed="rId10"/>
                    <a:stretch>
                      <a:fillRect/>
                    </a:stretch>
                  </pic:blipFill>
                  <pic:spPr>
                    <a:xfrm>
                      <a:off x="0" y="0"/>
                      <a:ext cx="4183743" cy="6881456"/>
                    </a:xfrm>
                    <a:prstGeom prst="rect">
                      <a:avLst/>
                    </a:prstGeom>
                  </pic:spPr>
                </pic:pic>
              </a:graphicData>
            </a:graphic>
          </wp:inline>
        </w:drawing>
      </w:r>
    </w:p>
    <w:p w14:paraId="1E5F89C6" w14:textId="77777777" w:rsidR="00906E42" w:rsidRDefault="00906E42">
      <w:pPr>
        <w:spacing w:line="360" w:lineRule="auto"/>
        <w:jc w:val="both"/>
        <w:rPr>
          <w:rFonts w:ascii="Arial" w:hAnsi="Arial" w:cs="Arial"/>
          <w:sz w:val="24"/>
          <w:szCs w:val="24"/>
        </w:rPr>
      </w:pPr>
    </w:p>
    <w:sectPr w:rsidR="00906E42">
      <w:headerReference w:type="default" r:id="rId11"/>
      <w:footerReference w:type="default" r:id="rId12"/>
      <w:pgSz w:w="12240" w:h="15840"/>
      <w:pgMar w:top="1600" w:right="1400" w:bottom="1300" w:left="1400" w:header="700" w:footer="6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7E946" w14:textId="77777777" w:rsidR="004B66E5" w:rsidRDefault="004B66E5">
      <w:r>
        <w:separator/>
      </w:r>
    </w:p>
  </w:endnote>
  <w:endnote w:type="continuationSeparator" w:id="0">
    <w:p w14:paraId="135B057F" w14:textId="77777777" w:rsidR="004B66E5" w:rsidRDefault="004B6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32759" w14:textId="77777777" w:rsidR="0016059B" w:rsidRDefault="0016059B">
    <w:pPr>
      <w:pStyle w:val="Piedepgina"/>
    </w:pPr>
    <w:r>
      <w:rPr>
        <w:noProof/>
      </w:rPr>
      <w:drawing>
        <wp:anchor distT="0" distB="0" distL="114300" distR="114300" simplePos="0" relativeHeight="251659264" behindDoc="0" locked="0" layoutInCell="1" allowOverlap="1" wp14:anchorId="0C693391" wp14:editId="3AEBF920">
          <wp:simplePos x="0" y="0"/>
          <wp:positionH relativeFrom="margin">
            <wp:align>center</wp:align>
          </wp:positionH>
          <wp:positionV relativeFrom="paragraph">
            <wp:posOffset>-312420</wp:posOffset>
          </wp:positionV>
          <wp:extent cx="5753100" cy="689610"/>
          <wp:effectExtent l="0" t="0" r="0" b="0"/>
          <wp:wrapNone/>
          <wp:docPr id="5795582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558295" name="Imagen 1"/>
                  <pic:cNvPicPr>
                    <a:picLocks noChangeAspect="1"/>
                  </pic:cNvPicPr>
                </pic:nvPicPr>
                <pic:blipFill rotWithShape="1">
                  <a:blip r:embed="rId1">
                    <a:extLst>
                      <a:ext uri="{28A0092B-C50C-407E-A947-70E740481C1C}">
                        <a14:useLocalDpi xmlns:a14="http://schemas.microsoft.com/office/drawing/2010/main" val="0"/>
                      </a:ext>
                    </a:extLst>
                  </a:blip>
                  <a:srcRect l="7606" r="7324"/>
                  <a:stretch>
                    <a:fillRect/>
                  </a:stretch>
                </pic:blipFill>
                <pic:spPr bwMode="auto">
                  <a:xfrm>
                    <a:off x="0" y="0"/>
                    <a:ext cx="5753100" cy="689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0DAB1" w14:textId="77777777" w:rsidR="004B66E5" w:rsidRDefault="004B66E5">
      <w:r>
        <w:separator/>
      </w:r>
    </w:p>
  </w:footnote>
  <w:footnote w:type="continuationSeparator" w:id="0">
    <w:p w14:paraId="055C07AE" w14:textId="77777777" w:rsidR="004B66E5" w:rsidRDefault="004B6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240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400"/>
    </w:tblGrid>
    <w:tr w:rsidR="00E77AC4" w14:paraId="7CED5A4A" w14:textId="77777777" w:rsidTr="00E77AC4">
      <w:tc>
        <w:tcPr>
          <w:tcW w:w="2400" w:type="dxa"/>
          <w:tcBorders>
            <w:top w:val="none" w:sz="0" w:space="0" w:color="FFFFFF"/>
            <w:left w:val="none" w:sz="0" w:space="0" w:color="FFFFFF"/>
            <w:bottom w:val="none" w:sz="0" w:space="0" w:color="FFFFFF"/>
            <w:right w:val="none" w:sz="0" w:space="0" w:color="FFFFFF"/>
          </w:tcBorders>
          <w:tcMar>
            <w:top w:w="0" w:type="dxa"/>
            <w:left w:w="0" w:type="dxa"/>
            <w:bottom w:w="0" w:type="dxa"/>
            <w:right w:w="100" w:type="dxa"/>
          </w:tcMar>
        </w:tcPr>
        <w:p w14:paraId="2D677C86" w14:textId="77777777" w:rsidR="00E77AC4" w:rsidRDefault="00E77AC4"/>
      </w:tc>
    </w:tr>
  </w:tbl>
  <w:p w14:paraId="38ADC1F8" w14:textId="77777777" w:rsidR="007E51E2" w:rsidRDefault="0016059B">
    <w:pPr>
      <w:spacing w:after="160"/>
    </w:pPr>
    <w:r>
      <w:rPr>
        <w:noProof/>
      </w:rPr>
      <w:drawing>
        <wp:anchor distT="0" distB="0" distL="114300" distR="114300" simplePos="0" relativeHeight="251660288" behindDoc="0" locked="0" layoutInCell="1" allowOverlap="1" wp14:anchorId="64AFF940" wp14:editId="4DFA0A47">
          <wp:simplePos x="0" y="0"/>
          <wp:positionH relativeFrom="column">
            <wp:posOffset>-149860</wp:posOffset>
          </wp:positionH>
          <wp:positionV relativeFrom="paragraph">
            <wp:posOffset>-423545</wp:posOffset>
          </wp:positionV>
          <wp:extent cx="2059983" cy="838200"/>
          <wp:effectExtent l="0" t="0" r="0" b="0"/>
          <wp:wrapNone/>
          <wp:docPr id="720322252" name="Imagen 72032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983" cy="838200"/>
                  </a:xfrm>
                  <a:prstGeom prst="rect">
                    <a:avLst/>
                  </a:prstGeom>
                </pic:spPr>
              </pic:pic>
            </a:graphicData>
          </a:graphic>
          <wp14:sizeRelH relativeFrom="page">
            <wp14:pctWidth>0</wp14:pctWidth>
          </wp14:sizeRelH>
          <wp14:sizeRelV relativeFrom="page">
            <wp14:pctHeight>0</wp14:pctHeight>
          </wp14:sizeRelV>
        </wp:anchor>
      </w:drawing>
    </w:r>
  </w:p>
  <w:p w14:paraId="2D056189" w14:textId="77777777" w:rsidR="0016059B" w:rsidRDefault="0016059B">
    <w:pPr>
      <w:spacing w:after="160"/>
    </w:pPr>
  </w:p>
  <w:p w14:paraId="2ADBF38B" w14:textId="77777777" w:rsidR="00E77AC4" w:rsidRDefault="00E77AC4">
    <w:pPr>
      <w:spacing w:after="1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0E227B"/>
    <w:multiLevelType w:val="hybridMultilevel"/>
    <w:tmpl w:val="F31AAD9A"/>
    <w:lvl w:ilvl="0" w:tplc="9EFC946E">
      <w:start w:val="1"/>
      <w:numFmt w:val="bullet"/>
      <w:lvlText w:val="•"/>
      <w:lvlJc w:val="left"/>
      <w:pPr>
        <w:ind w:left="576" w:hanging="316"/>
      </w:pPr>
    </w:lvl>
    <w:lvl w:ilvl="1" w:tplc="D4DC944A">
      <w:numFmt w:val="decimal"/>
      <w:lvlText w:val=""/>
      <w:lvlJc w:val="left"/>
    </w:lvl>
    <w:lvl w:ilvl="2" w:tplc="57F4A0D2">
      <w:numFmt w:val="decimal"/>
      <w:lvlText w:val=""/>
      <w:lvlJc w:val="left"/>
    </w:lvl>
    <w:lvl w:ilvl="3" w:tplc="081C8A0E">
      <w:numFmt w:val="decimal"/>
      <w:lvlText w:val=""/>
      <w:lvlJc w:val="left"/>
    </w:lvl>
    <w:lvl w:ilvl="4" w:tplc="B6F6A13A">
      <w:numFmt w:val="decimal"/>
      <w:lvlText w:val=""/>
      <w:lvlJc w:val="left"/>
    </w:lvl>
    <w:lvl w:ilvl="5" w:tplc="C2E0C74C">
      <w:numFmt w:val="decimal"/>
      <w:lvlText w:val=""/>
      <w:lvlJc w:val="left"/>
    </w:lvl>
    <w:lvl w:ilvl="6" w:tplc="24F08BA4">
      <w:numFmt w:val="decimal"/>
      <w:lvlText w:val=""/>
      <w:lvlJc w:val="left"/>
    </w:lvl>
    <w:lvl w:ilvl="7" w:tplc="97E807E0">
      <w:numFmt w:val="decimal"/>
      <w:lvlText w:val=""/>
      <w:lvlJc w:val="left"/>
    </w:lvl>
    <w:lvl w:ilvl="8" w:tplc="71D0A274">
      <w:numFmt w:val="decimal"/>
      <w:lvlText w:val=""/>
      <w:lvlJc w:val="left"/>
    </w:lvl>
  </w:abstractNum>
  <w:abstractNum w:abstractNumId="1" w15:restartNumberingAfterBreak="0">
    <w:nsid w:val="75CB2E5F"/>
    <w:multiLevelType w:val="hybridMultilevel"/>
    <w:tmpl w:val="3834AFAC"/>
    <w:lvl w:ilvl="0" w:tplc="DCF06C1E">
      <w:start w:val="1"/>
      <w:numFmt w:val="bullet"/>
      <w:lvlText w:val="●"/>
      <w:lvlJc w:val="left"/>
      <w:pPr>
        <w:ind w:left="720" w:hanging="360"/>
      </w:pPr>
    </w:lvl>
    <w:lvl w:ilvl="1" w:tplc="37925706">
      <w:start w:val="1"/>
      <w:numFmt w:val="bullet"/>
      <w:lvlText w:val="○"/>
      <w:lvlJc w:val="left"/>
      <w:pPr>
        <w:ind w:left="1440" w:hanging="360"/>
      </w:pPr>
    </w:lvl>
    <w:lvl w:ilvl="2" w:tplc="0F52FEE6">
      <w:start w:val="1"/>
      <w:numFmt w:val="bullet"/>
      <w:lvlText w:val="■"/>
      <w:lvlJc w:val="left"/>
      <w:pPr>
        <w:ind w:left="2160" w:hanging="360"/>
      </w:pPr>
    </w:lvl>
    <w:lvl w:ilvl="3" w:tplc="81B0BAFE">
      <w:start w:val="1"/>
      <w:numFmt w:val="bullet"/>
      <w:lvlText w:val="●"/>
      <w:lvlJc w:val="left"/>
      <w:pPr>
        <w:ind w:left="2880" w:hanging="360"/>
      </w:pPr>
    </w:lvl>
    <w:lvl w:ilvl="4" w:tplc="1D64ECC8">
      <w:start w:val="1"/>
      <w:numFmt w:val="bullet"/>
      <w:lvlText w:val="○"/>
      <w:lvlJc w:val="left"/>
      <w:pPr>
        <w:ind w:left="3600" w:hanging="360"/>
      </w:pPr>
    </w:lvl>
    <w:lvl w:ilvl="5" w:tplc="6C04728E">
      <w:start w:val="1"/>
      <w:numFmt w:val="bullet"/>
      <w:lvlText w:val="■"/>
      <w:lvlJc w:val="left"/>
      <w:pPr>
        <w:ind w:left="4320" w:hanging="360"/>
      </w:pPr>
    </w:lvl>
    <w:lvl w:ilvl="6" w:tplc="3A6815DE">
      <w:start w:val="1"/>
      <w:numFmt w:val="bullet"/>
      <w:lvlText w:val="●"/>
      <w:lvlJc w:val="left"/>
      <w:pPr>
        <w:ind w:left="5040" w:hanging="360"/>
      </w:pPr>
    </w:lvl>
    <w:lvl w:ilvl="7" w:tplc="4CD89274">
      <w:start w:val="1"/>
      <w:numFmt w:val="bullet"/>
      <w:lvlText w:val="●"/>
      <w:lvlJc w:val="left"/>
      <w:pPr>
        <w:ind w:left="5760" w:hanging="360"/>
      </w:pPr>
    </w:lvl>
    <w:lvl w:ilvl="8" w:tplc="F9061108">
      <w:start w:val="1"/>
      <w:numFmt w:val="bullet"/>
      <w:lvlText w:val="●"/>
      <w:lvlJc w:val="left"/>
      <w:pPr>
        <w:ind w:left="6480" w:hanging="360"/>
      </w:pPr>
    </w:lvl>
  </w:abstractNum>
  <w:abstractNum w:abstractNumId="2" w15:restartNumberingAfterBreak="0">
    <w:nsid w:val="7C3F61CF"/>
    <w:multiLevelType w:val="hybridMultilevel"/>
    <w:tmpl w:val="17AEDB82"/>
    <w:lvl w:ilvl="0" w:tplc="ADA41F1A">
      <w:start w:val="1"/>
      <w:numFmt w:val="decimal"/>
      <w:lvlText w:val="%1."/>
      <w:lvlJc w:val="left"/>
      <w:pPr>
        <w:ind w:left="576" w:hanging="360"/>
      </w:pPr>
    </w:lvl>
    <w:lvl w:ilvl="1" w:tplc="8020C73A">
      <w:numFmt w:val="decimal"/>
      <w:lvlText w:val=""/>
      <w:lvlJc w:val="left"/>
    </w:lvl>
    <w:lvl w:ilvl="2" w:tplc="ACA4B158">
      <w:numFmt w:val="decimal"/>
      <w:lvlText w:val=""/>
      <w:lvlJc w:val="left"/>
    </w:lvl>
    <w:lvl w:ilvl="3" w:tplc="087A8CC8">
      <w:numFmt w:val="decimal"/>
      <w:lvlText w:val=""/>
      <w:lvlJc w:val="left"/>
    </w:lvl>
    <w:lvl w:ilvl="4" w:tplc="813668F2">
      <w:numFmt w:val="decimal"/>
      <w:lvlText w:val=""/>
      <w:lvlJc w:val="left"/>
    </w:lvl>
    <w:lvl w:ilvl="5" w:tplc="7F289F56">
      <w:numFmt w:val="decimal"/>
      <w:lvlText w:val=""/>
      <w:lvlJc w:val="left"/>
    </w:lvl>
    <w:lvl w:ilvl="6" w:tplc="3B208768">
      <w:numFmt w:val="decimal"/>
      <w:lvlText w:val=""/>
      <w:lvlJc w:val="left"/>
    </w:lvl>
    <w:lvl w:ilvl="7" w:tplc="1FF4159C">
      <w:numFmt w:val="decimal"/>
      <w:lvlText w:val=""/>
      <w:lvlJc w:val="left"/>
    </w:lvl>
    <w:lvl w:ilvl="8" w:tplc="5D1C5690">
      <w:numFmt w:val="decimal"/>
      <w:lvlText w:val=""/>
      <w:lvlJc w:val="left"/>
    </w:lvl>
  </w:abstractNum>
  <w:num w:numId="1" w16cid:durableId="122045018">
    <w:abstractNumId w:val="1"/>
    <w:lvlOverride w:ilvl="0">
      <w:startOverride w:val="1"/>
    </w:lvlOverride>
  </w:num>
  <w:num w:numId="2" w16cid:durableId="1898010517">
    <w:abstractNumId w:val="2"/>
    <w:lvlOverride w:ilvl="0">
      <w:startOverride w:val="1"/>
    </w:lvlOverride>
  </w:num>
  <w:num w:numId="3" w16cid:durableId="94982439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1E2"/>
    <w:rsid w:val="000A0B99"/>
    <w:rsid w:val="0016059B"/>
    <w:rsid w:val="002E378C"/>
    <w:rsid w:val="0030223B"/>
    <w:rsid w:val="00387867"/>
    <w:rsid w:val="003F7DCE"/>
    <w:rsid w:val="00434871"/>
    <w:rsid w:val="00467B16"/>
    <w:rsid w:val="004B66E5"/>
    <w:rsid w:val="0055245F"/>
    <w:rsid w:val="005F74B6"/>
    <w:rsid w:val="00797CEB"/>
    <w:rsid w:val="007E51E2"/>
    <w:rsid w:val="00895057"/>
    <w:rsid w:val="008E4017"/>
    <w:rsid w:val="00906E42"/>
    <w:rsid w:val="00993FBB"/>
    <w:rsid w:val="009F3C5B"/>
    <w:rsid w:val="00A04DEE"/>
    <w:rsid w:val="00E77AC4"/>
    <w:rsid w:val="00F00E4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2BFB3"/>
  <w15:docId w15:val="{A696AE9B-6E92-47E4-816A-D0E1C70D5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993FBB"/>
    <w:pPr>
      <w:tabs>
        <w:tab w:val="center" w:pos="4419"/>
        <w:tab w:val="right" w:pos="8838"/>
      </w:tabs>
    </w:pPr>
  </w:style>
  <w:style w:type="character" w:customStyle="1" w:styleId="EncabezadoCar">
    <w:name w:val="Encabezado Car"/>
    <w:basedOn w:val="Fuentedeprrafopredeter"/>
    <w:link w:val="Encabezado"/>
    <w:uiPriority w:val="99"/>
    <w:rsid w:val="00993FBB"/>
  </w:style>
  <w:style w:type="paragraph" w:styleId="Piedepgina">
    <w:name w:val="footer"/>
    <w:basedOn w:val="Normal"/>
    <w:link w:val="PiedepginaCar"/>
    <w:uiPriority w:val="99"/>
    <w:unhideWhenUsed/>
    <w:rsid w:val="00993FBB"/>
    <w:pPr>
      <w:tabs>
        <w:tab w:val="center" w:pos="4419"/>
        <w:tab w:val="right" w:pos="8838"/>
      </w:tabs>
    </w:pPr>
  </w:style>
  <w:style w:type="character" w:customStyle="1" w:styleId="PiedepginaCar">
    <w:name w:val="Pie de página Car"/>
    <w:basedOn w:val="Fuentedeprrafopredeter"/>
    <w:link w:val="Piedepgina"/>
    <w:uiPriority w:val="99"/>
    <w:rsid w:val="00993F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eprem.gob.gt/hitos/"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4</Pages>
  <Words>519</Words>
  <Characters>2856</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Wilber Edilson Ixpatá González</cp:lastModifiedBy>
  <cp:revision>10</cp:revision>
  <dcterms:created xsi:type="dcterms:W3CDTF">2026-07-23T16:59:00Z</dcterms:created>
  <dcterms:modified xsi:type="dcterms:W3CDTF">2026-07-30T21:54:00Z</dcterms:modified>
</cp:coreProperties>
</file>