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A47BE" w14:textId="77777777" w:rsidR="00514738" w:rsidRPr="00AB6B1E" w:rsidRDefault="00000000">
      <w:pPr>
        <w:spacing w:before="100" w:after="60"/>
        <w:jc w:val="center"/>
        <w:rPr>
          <w:lang w:val="es-ES"/>
        </w:rPr>
      </w:pPr>
      <w:r w:rsidRPr="00AB6B1E">
        <w:rPr>
          <w:rFonts w:ascii="Calibri" w:eastAsia="Calibri" w:hAnsi="Calibri" w:cs="Calibri"/>
          <w:b/>
          <w:bCs/>
          <w:sz w:val="28"/>
          <w:szCs w:val="28"/>
          <w:lang w:val="es-ES"/>
        </w:rPr>
        <w:t>INFORME DE REVISIÓN DE MALLA CURRICULAR</w:t>
      </w:r>
    </w:p>
    <w:p w14:paraId="47CF29ED" w14:textId="77777777" w:rsidR="00514738" w:rsidRPr="00AB6B1E" w:rsidRDefault="00000000">
      <w:pPr>
        <w:spacing w:after="60"/>
        <w:jc w:val="center"/>
        <w:rPr>
          <w:lang w:val="es-ES"/>
        </w:rPr>
      </w:pPr>
      <w:r w:rsidRPr="00AB6B1E">
        <w:rPr>
          <w:rFonts w:ascii="Calibri" w:eastAsia="Calibri" w:hAnsi="Calibri" w:cs="Calibri"/>
          <w:sz w:val="22"/>
          <w:szCs w:val="22"/>
          <w:lang w:val="es-ES"/>
        </w:rPr>
        <w:t>Proceso formativo para el fortalecimiento de las Direcciones Municipales de la Mujer y Unidades de Género en el abordaje de los derechos humanos de las mujeres</w:t>
      </w:r>
    </w:p>
    <w:p w14:paraId="71884422" w14:textId="77777777" w:rsidR="00514738" w:rsidRPr="00AB6B1E" w:rsidRDefault="00000000">
      <w:pPr>
        <w:spacing w:after="280"/>
        <w:jc w:val="center"/>
        <w:rPr>
          <w:lang w:val="es-ES"/>
        </w:rPr>
      </w:pPr>
      <w:r w:rsidRPr="00AB6B1E">
        <w:rPr>
          <w:rFonts w:ascii="Calibri" w:eastAsia="Calibri" w:hAnsi="Calibri" w:cs="Calibri"/>
          <w:i/>
          <w:iCs/>
          <w:lang w:val="es-ES"/>
        </w:rPr>
        <w:t>7.º Plan de Acción Nacional de Gobierno Abierto 2026-2027 · Código de hito: PVCM-H_-A_</w:t>
      </w:r>
    </w:p>
    <w:p w14:paraId="13AAC0CB" w14:textId="60408CD0" w:rsidR="00514738" w:rsidRPr="00AB6B1E" w:rsidRDefault="00000000">
      <w:pPr>
        <w:spacing w:after="200" w:line="320" w:lineRule="auto"/>
        <w:jc w:val="both"/>
        <w:rPr>
          <w:lang w:val="es-ES"/>
        </w:rPr>
      </w:pPr>
      <w:r w:rsidRPr="00AB6B1E">
        <w:rPr>
          <w:rFonts w:ascii="Calibri" w:eastAsia="Calibri" w:hAnsi="Calibri" w:cs="Calibri"/>
          <w:sz w:val="22"/>
          <w:szCs w:val="22"/>
          <w:lang w:val="es-ES"/>
        </w:rPr>
        <w:t xml:space="preserve">La Secretaría Presidencial de la Mujer </w:t>
      </w:r>
      <w:r w:rsidR="00F319ED">
        <w:rPr>
          <w:rFonts w:ascii="Calibri" w:eastAsia="Calibri" w:hAnsi="Calibri" w:cs="Calibri"/>
          <w:sz w:val="22"/>
          <w:szCs w:val="22"/>
          <w:lang w:val="es-ES"/>
        </w:rPr>
        <w:t>-</w:t>
      </w:r>
      <w:r w:rsidRPr="00AB6B1E">
        <w:rPr>
          <w:rFonts w:ascii="Calibri" w:eastAsia="Calibri" w:hAnsi="Calibri" w:cs="Calibri"/>
          <w:sz w:val="22"/>
          <w:szCs w:val="22"/>
          <w:lang w:val="es-ES"/>
        </w:rPr>
        <w:t>SEPREM</w:t>
      </w:r>
      <w:r w:rsidR="00F319ED">
        <w:rPr>
          <w:rFonts w:ascii="Calibri" w:eastAsia="Calibri" w:hAnsi="Calibri" w:cs="Calibri"/>
          <w:sz w:val="22"/>
          <w:szCs w:val="22"/>
          <w:lang w:val="es-ES"/>
        </w:rPr>
        <w:t>-</w:t>
      </w:r>
      <w:r w:rsidRPr="00AB6B1E">
        <w:rPr>
          <w:rFonts w:ascii="Calibri" w:eastAsia="Calibri" w:hAnsi="Calibri" w:cs="Calibri"/>
          <w:sz w:val="22"/>
          <w:szCs w:val="22"/>
          <w:lang w:val="es-ES"/>
        </w:rPr>
        <w:t>, en respuesta a las demandas de la ciudadanía, las instituciones públicas, la academia y las organizaciones de la sociedad civil, identificó las problemáticas que sirvieron de base para la cocreación del 7.º Plan de Acción Nacional de Gobierno Abierto 2026-2027, mediante talleres desarrollados</w:t>
      </w:r>
      <w:r w:rsidR="00F319ED">
        <w:rPr>
          <w:rFonts w:ascii="Calibri" w:eastAsia="Calibri" w:hAnsi="Calibri" w:cs="Calibri"/>
          <w:sz w:val="22"/>
          <w:szCs w:val="22"/>
          <w:lang w:val="es-ES"/>
        </w:rPr>
        <w:t xml:space="preserve"> por la Comisión Presidencial de Gobierno Abierto y Electrónico en </w:t>
      </w:r>
      <w:r w:rsidRPr="00AB6B1E">
        <w:rPr>
          <w:rFonts w:ascii="Calibri" w:eastAsia="Calibri" w:hAnsi="Calibri" w:cs="Calibri"/>
          <w:sz w:val="22"/>
          <w:szCs w:val="22"/>
          <w:lang w:val="es-ES"/>
        </w:rPr>
        <w:t>los diferentes departamentos del país durante el año 2026. En este marco, se planificaron procesos de fortalecimiento de capacidades a nivel nacional, identificados en el hito «Proceso formativo para el fortalecimiento de las Direcciones Municipales de la Mujer y Unidades de Género en el abordaje de los derechos humanos de las mujeres».</w:t>
      </w:r>
    </w:p>
    <w:p w14:paraId="18B2E9B7" w14:textId="77777777" w:rsidR="00514738" w:rsidRPr="00AB6B1E" w:rsidRDefault="00000000">
      <w:pPr>
        <w:spacing w:before="100" w:after="140" w:line="320" w:lineRule="auto"/>
        <w:jc w:val="both"/>
        <w:rPr>
          <w:lang w:val="es-ES"/>
        </w:rPr>
      </w:pPr>
      <w:r w:rsidRPr="00AB6B1E">
        <w:rPr>
          <w:rFonts w:ascii="Calibri" w:eastAsia="Calibri" w:hAnsi="Calibri" w:cs="Calibri"/>
          <w:b/>
          <w:bCs/>
          <w:sz w:val="24"/>
          <w:szCs w:val="24"/>
          <w:lang w:val="es-ES"/>
        </w:rPr>
        <w:t>Proceso de construcción de la malla curricular</w:t>
      </w:r>
    </w:p>
    <w:p w14:paraId="22BCCD46" w14:textId="77777777" w:rsidR="00514738" w:rsidRPr="00AB6B1E" w:rsidRDefault="00000000">
      <w:pPr>
        <w:spacing w:after="200" w:line="320" w:lineRule="auto"/>
        <w:jc w:val="both"/>
        <w:rPr>
          <w:lang w:val="es-ES"/>
        </w:rPr>
      </w:pPr>
      <w:r w:rsidRPr="00AB6B1E">
        <w:rPr>
          <w:rFonts w:ascii="Calibri" w:eastAsia="Calibri" w:hAnsi="Calibri" w:cs="Calibri"/>
          <w:sz w:val="22"/>
          <w:szCs w:val="22"/>
          <w:lang w:val="es-ES"/>
        </w:rPr>
        <w:t>La construcción de la malla curricular se desarrolla tomando como punto de partida las necesidades y características de los grupos priorizados, considerando las diversas condiciones y realidades que atraviesan las mujeres en los territorios. En este sentido, se incorporan los enfoques de género, derechos humanos, interseccionalidad e interculturalidad, reconociendo las diferentes formas de discriminación y desigualdad que pueden afectar a las mujeres por razones de género, pertenencia a un pueblo, edad, discapacidad, condición económica y ubicación territorial.</w:t>
      </w:r>
    </w:p>
    <w:p w14:paraId="401BCE52" w14:textId="77777777" w:rsidR="00514738" w:rsidRPr="00AB6B1E" w:rsidRDefault="00000000">
      <w:pPr>
        <w:spacing w:after="220" w:line="320" w:lineRule="auto"/>
        <w:jc w:val="both"/>
        <w:rPr>
          <w:lang w:val="es-ES"/>
        </w:rPr>
      </w:pPr>
      <w:r w:rsidRPr="00AB6B1E">
        <w:rPr>
          <w:rFonts w:ascii="Calibri" w:eastAsia="Calibri" w:hAnsi="Calibri" w:cs="Calibri"/>
          <w:sz w:val="22"/>
          <w:szCs w:val="22"/>
          <w:lang w:val="es-ES"/>
        </w:rPr>
        <w:t>La propuesta curricular busca avanzar de manera progresiva desde la comprensión de las desigualdades estructurales que afectan a las mujeres hacia el desarrollo de capacidades prácticas para su participación y acción colectiva. Por ello, los contenidos se organizan en seis módulos articulados entre sí:</w:t>
      </w:r>
    </w:p>
    <w:p w14:paraId="05C6FC1B" w14:textId="77777777" w:rsidR="00514738" w:rsidRPr="00AB6B1E" w:rsidRDefault="00000000">
      <w:pPr>
        <w:pStyle w:val="Prrafodelista"/>
        <w:numPr>
          <w:ilvl w:val="0"/>
          <w:numId w:val="2"/>
        </w:numPr>
        <w:spacing w:before="60" w:after="80" w:line="320" w:lineRule="auto"/>
        <w:rPr>
          <w:lang w:val="es-ES"/>
        </w:rPr>
      </w:pPr>
      <w:r w:rsidRPr="00AB6B1E">
        <w:rPr>
          <w:rFonts w:ascii="Calibri" w:eastAsia="Calibri" w:hAnsi="Calibri" w:cs="Calibri"/>
          <w:b/>
          <w:bCs/>
          <w:sz w:val="22"/>
          <w:szCs w:val="22"/>
          <w:lang w:val="es-ES"/>
        </w:rPr>
        <w:t>Módulo 1. Introducción al enfoque de género, interseccionalidad y derechos humanos de las mujeres</w:t>
      </w:r>
    </w:p>
    <w:p w14:paraId="3DC242E5" w14:textId="77777777" w:rsidR="00514738" w:rsidRDefault="00000000">
      <w:pPr>
        <w:spacing w:after="220" w:line="320" w:lineRule="auto"/>
        <w:jc w:val="both"/>
        <w:rPr>
          <w:rFonts w:ascii="Calibri" w:eastAsia="Calibri" w:hAnsi="Calibri" w:cs="Calibri"/>
          <w:sz w:val="22"/>
          <w:szCs w:val="22"/>
          <w:lang w:val="es-ES"/>
        </w:rPr>
      </w:pPr>
      <w:r w:rsidRPr="00AB6B1E">
        <w:rPr>
          <w:rFonts w:ascii="Calibri" w:eastAsia="Calibri" w:hAnsi="Calibri" w:cs="Calibri"/>
          <w:sz w:val="22"/>
          <w:szCs w:val="22"/>
          <w:lang w:val="es-ES"/>
        </w:rPr>
        <w:t>Este módulo constituye la base conceptual del proceso formativo. Aborda el enfoque de género, las relaciones de poder, los sistemas de opresión, los estereotipos y la división sexual del trabajo. Asimismo, incorpora los enfoques de interseccionalidad e interculturalidad, con especial atención a las diferentes condiciones y necesidades de mujeres indígenas, mujeres rurales, jóvenes, adultas mayores y mujeres con discapacidad. También se desarrollan contenidos relacionados con los derechos humanos de las mujeres, los principios de igualdad y no discriminación, así como los derechos económicos, sociales, culturales y políticos.</w:t>
      </w:r>
    </w:p>
    <w:p w14:paraId="22FCB4DA" w14:textId="77777777" w:rsidR="00AB6B1E" w:rsidRPr="00AB6B1E" w:rsidRDefault="00AB6B1E">
      <w:pPr>
        <w:spacing w:after="220" w:line="320" w:lineRule="auto"/>
        <w:jc w:val="both"/>
        <w:rPr>
          <w:lang w:val="es-ES"/>
        </w:rPr>
      </w:pPr>
    </w:p>
    <w:p w14:paraId="608D0FAD" w14:textId="77777777" w:rsidR="00514738" w:rsidRPr="00AB6B1E" w:rsidRDefault="00000000">
      <w:pPr>
        <w:pStyle w:val="Prrafodelista"/>
        <w:numPr>
          <w:ilvl w:val="0"/>
          <w:numId w:val="2"/>
        </w:numPr>
        <w:spacing w:before="60" w:after="80" w:line="320" w:lineRule="auto"/>
        <w:rPr>
          <w:lang w:val="es-ES"/>
        </w:rPr>
      </w:pPr>
      <w:r w:rsidRPr="00AB6B1E">
        <w:rPr>
          <w:rFonts w:ascii="Calibri" w:eastAsia="Calibri" w:hAnsi="Calibri" w:cs="Calibri"/>
          <w:b/>
          <w:bCs/>
          <w:sz w:val="22"/>
          <w:szCs w:val="22"/>
          <w:lang w:val="es-ES"/>
        </w:rPr>
        <w:t>Módulo 2. Marco legal nacional e internacional</w:t>
      </w:r>
    </w:p>
    <w:p w14:paraId="1E9F3A70" w14:textId="77777777" w:rsidR="00514738" w:rsidRPr="00AB6B1E" w:rsidRDefault="00000000">
      <w:pPr>
        <w:spacing w:after="220" w:line="320" w:lineRule="auto"/>
        <w:jc w:val="both"/>
        <w:rPr>
          <w:lang w:val="es-ES"/>
        </w:rPr>
      </w:pPr>
      <w:r w:rsidRPr="00AB6B1E">
        <w:rPr>
          <w:rFonts w:ascii="Calibri" w:eastAsia="Calibri" w:hAnsi="Calibri" w:cs="Calibri"/>
          <w:sz w:val="22"/>
          <w:szCs w:val="22"/>
          <w:lang w:val="es-ES"/>
        </w:rPr>
        <w:t>Este módulo proporciona conocimientos sobre los principales instrumentos y marcos jurídicos nacionales e internacionales relacionados con la igualdad y los derechos específicos de las mujeres. Su finalidad es que las participantes puedan reconocer las obligaciones del Estado y utilizar el marco jurídico como una herramienta para la defensa y promoción de sus derechos.</w:t>
      </w:r>
    </w:p>
    <w:p w14:paraId="5D91A551" w14:textId="77777777" w:rsidR="00514738" w:rsidRPr="00AB6B1E" w:rsidRDefault="00000000">
      <w:pPr>
        <w:pStyle w:val="Prrafodelista"/>
        <w:numPr>
          <w:ilvl w:val="0"/>
          <w:numId w:val="2"/>
        </w:numPr>
        <w:spacing w:before="60" w:after="80" w:line="320" w:lineRule="auto"/>
        <w:rPr>
          <w:lang w:val="es-ES"/>
        </w:rPr>
      </w:pPr>
      <w:r w:rsidRPr="00AB6B1E">
        <w:rPr>
          <w:rFonts w:ascii="Calibri" w:eastAsia="Calibri" w:hAnsi="Calibri" w:cs="Calibri"/>
          <w:b/>
          <w:bCs/>
          <w:sz w:val="22"/>
          <w:szCs w:val="22"/>
          <w:lang w:val="es-ES"/>
        </w:rPr>
        <w:t>Módulo 3. Participación sociopolítica y Sistema de Consejos de Desarrollo</w:t>
      </w:r>
    </w:p>
    <w:p w14:paraId="377FEAF8" w14:textId="77777777" w:rsidR="00514738" w:rsidRPr="00AB6B1E" w:rsidRDefault="00000000">
      <w:pPr>
        <w:spacing w:after="220" w:line="320" w:lineRule="auto"/>
        <w:jc w:val="both"/>
        <w:rPr>
          <w:lang w:val="es-ES"/>
        </w:rPr>
      </w:pPr>
      <w:r w:rsidRPr="00AB6B1E">
        <w:rPr>
          <w:rFonts w:ascii="Calibri" w:eastAsia="Calibri" w:hAnsi="Calibri" w:cs="Calibri"/>
          <w:sz w:val="22"/>
          <w:szCs w:val="22"/>
          <w:lang w:val="es-ES"/>
        </w:rPr>
        <w:t>El módulo fortalece los conocimientos y capacidades de las mujeres para participar activamente en los espacios de toma de decisión. Se abordan la participación sociopolítica, el liderazgo comunitario, la organización de las mujeres, la articulación de redes, la comunicación efectiva y la resolución de conflictos. De manera particular, se incorpora el Sistema de Consejos de Desarrollo, su marco legal, competencias y funciones, así como las posibilidades de participación de las mujeres en estos espacios. Se busca fortalecer sus capacidades para la representación, la construcción de agendas de las mujeres, la planificación del desarrollo, la gestión institucional y municipal, y la promoción del desarrollo integral de las mujeres.</w:t>
      </w:r>
    </w:p>
    <w:p w14:paraId="4165FE11" w14:textId="77777777" w:rsidR="00514738" w:rsidRPr="00AB6B1E" w:rsidRDefault="00000000">
      <w:pPr>
        <w:pStyle w:val="Prrafodelista"/>
        <w:numPr>
          <w:ilvl w:val="0"/>
          <w:numId w:val="2"/>
        </w:numPr>
        <w:spacing w:before="60" w:after="80" w:line="320" w:lineRule="auto"/>
        <w:rPr>
          <w:lang w:val="es-ES"/>
        </w:rPr>
      </w:pPr>
      <w:r w:rsidRPr="00AB6B1E">
        <w:rPr>
          <w:rFonts w:ascii="Calibri" w:eastAsia="Calibri" w:hAnsi="Calibri" w:cs="Calibri"/>
          <w:b/>
          <w:bCs/>
          <w:sz w:val="22"/>
          <w:szCs w:val="22"/>
          <w:lang w:val="es-ES"/>
        </w:rPr>
        <w:t>Módulo 4. Incidencia política y monitoreo de proyectos</w:t>
      </w:r>
    </w:p>
    <w:p w14:paraId="00D0A114" w14:textId="77777777" w:rsidR="00514738" w:rsidRPr="00AB6B1E" w:rsidRDefault="00000000">
      <w:pPr>
        <w:spacing w:after="220" w:line="320" w:lineRule="auto"/>
        <w:jc w:val="both"/>
        <w:rPr>
          <w:lang w:val="es-ES"/>
        </w:rPr>
      </w:pPr>
      <w:r w:rsidRPr="00AB6B1E">
        <w:rPr>
          <w:rFonts w:ascii="Calibri" w:eastAsia="Calibri" w:hAnsi="Calibri" w:cs="Calibri"/>
          <w:sz w:val="22"/>
          <w:szCs w:val="22"/>
          <w:lang w:val="es-ES"/>
        </w:rPr>
        <w:t>Este módulo brinda herramientas prácticas para que las poblaciones a quienes van dirigidos los procesos formativos puedan desarrollar procesos de incidencia política, formular propuestas, establecer espacios de negociación y diálogo, y realizar seguimiento a los compromisos asumidos por las autoridades. También incorpora contenidos sobre auditoría social, monitoreo ciudadano, participación ciudadana, transparencia, rendición de cuentas y comunicación para la incidencia.</w:t>
      </w:r>
    </w:p>
    <w:p w14:paraId="5EC03A01" w14:textId="77777777" w:rsidR="00514738" w:rsidRPr="00AB6B1E" w:rsidRDefault="00000000">
      <w:pPr>
        <w:pStyle w:val="Prrafodelista"/>
        <w:numPr>
          <w:ilvl w:val="0"/>
          <w:numId w:val="2"/>
        </w:numPr>
        <w:spacing w:before="60" w:after="80" w:line="320" w:lineRule="auto"/>
      </w:pPr>
      <w:r w:rsidRPr="00AB6B1E">
        <w:rPr>
          <w:rFonts w:ascii="Calibri" w:eastAsia="Calibri" w:hAnsi="Calibri" w:cs="Calibri"/>
          <w:b/>
          <w:bCs/>
          <w:sz w:val="22"/>
          <w:szCs w:val="22"/>
        </w:rPr>
        <w:t>Módulo 5. Plan de Acción</w:t>
      </w:r>
    </w:p>
    <w:p w14:paraId="0F7E2BFB" w14:textId="77777777" w:rsidR="00514738" w:rsidRPr="00AB6B1E" w:rsidRDefault="00000000">
      <w:pPr>
        <w:spacing w:after="220" w:line="320" w:lineRule="auto"/>
        <w:jc w:val="both"/>
        <w:rPr>
          <w:lang w:val="es-ES"/>
        </w:rPr>
      </w:pPr>
      <w:r w:rsidRPr="00AB6B1E">
        <w:rPr>
          <w:rFonts w:ascii="Calibri" w:eastAsia="Calibri" w:hAnsi="Calibri" w:cs="Calibri"/>
          <w:sz w:val="22"/>
          <w:szCs w:val="22"/>
          <w:lang w:val="es-ES"/>
        </w:rPr>
        <w:t>El módulo está orientado a que las participantes puedan transformar los conocimientos adquiridos en acciones concretas dentro de sus instituciones, organizaciones y territorios. Se abordan herramientas para el análisis de contexto, la identificación y priorización de problemáticas, el árbol de problemas, la planificación participativa, la elaboración de cronogramas, la definición de recursos, la identificación de riesgos y el establecimiento de compromisos de seguimiento. Como resultado, se busca que las personas participantes cuenten con un Plan de Acción alineado con las necesidades y prioridades de las mujeres.</w:t>
      </w:r>
    </w:p>
    <w:p w14:paraId="766A0589" w14:textId="77777777" w:rsidR="00514738" w:rsidRPr="00AB6B1E" w:rsidRDefault="00000000">
      <w:pPr>
        <w:pStyle w:val="Prrafodelista"/>
        <w:numPr>
          <w:ilvl w:val="0"/>
          <w:numId w:val="2"/>
        </w:numPr>
        <w:spacing w:before="60" w:after="80" w:line="320" w:lineRule="auto"/>
        <w:rPr>
          <w:lang w:val="es-ES"/>
        </w:rPr>
      </w:pPr>
      <w:r w:rsidRPr="00AB6B1E">
        <w:rPr>
          <w:rFonts w:ascii="Calibri" w:eastAsia="Calibri" w:hAnsi="Calibri" w:cs="Calibri"/>
          <w:b/>
          <w:bCs/>
          <w:sz w:val="22"/>
          <w:szCs w:val="22"/>
          <w:lang w:val="es-ES"/>
        </w:rPr>
        <w:t>Módulo 6. Cooperación internacional y acceso a fondos</w:t>
      </w:r>
    </w:p>
    <w:p w14:paraId="5C63524D" w14:textId="77777777" w:rsidR="00514738" w:rsidRPr="00AB6B1E" w:rsidRDefault="00000000">
      <w:pPr>
        <w:spacing w:after="220" w:line="320" w:lineRule="auto"/>
        <w:jc w:val="both"/>
        <w:rPr>
          <w:lang w:val="es-ES"/>
        </w:rPr>
      </w:pPr>
      <w:r w:rsidRPr="00AB6B1E">
        <w:rPr>
          <w:rFonts w:ascii="Calibri" w:eastAsia="Calibri" w:hAnsi="Calibri" w:cs="Calibri"/>
          <w:sz w:val="22"/>
          <w:szCs w:val="22"/>
          <w:lang w:val="es-ES"/>
        </w:rPr>
        <w:t xml:space="preserve">Finalmente, se incorporan conocimientos básicos sobre cooperación internacional y las diferentes alternativas de financiamiento disponibles para las instituciones y organizaciones comunitarias de mujeres. Se abordan conceptos relacionados con fondos, subvenciones, proyectos, fondos de emergencia, </w:t>
      </w:r>
      <w:r w:rsidRPr="00AB6B1E">
        <w:rPr>
          <w:rFonts w:ascii="Calibri" w:eastAsia="Calibri" w:hAnsi="Calibri" w:cs="Calibri"/>
          <w:sz w:val="22"/>
          <w:szCs w:val="22"/>
          <w:lang w:val="es-ES"/>
        </w:rPr>
        <w:lastRenderedPageBreak/>
        <w:t>fortalecimiento organizativo y mecanismos de apoyo para defensoras de derechos humanos. Asimismo, se proporcionan criterios y herramientas para identificar oportunidades de financiamiento, considerando aspectos tales como los criterios de elegibilidad, así como los temas y territorios priorizados.</w:t>
      </w:r>
    </w:p>
    <w:p w14:paraId="695945C9" w14:textId="77777777" w:rsidR="00514738" w:rsidRPr="00AB6B1E" w:rsidRDefault="00000000">
      <w:pPr>
        <w:spacing w:line="320" w:lineRule="auto"/>
        <w:jc w:val="both"/>
      </w:pPr>
      <w:r w:rsidRPr="00AB6B1E">
        <w:rPr>
          <w:rFonts w:ascii="Calibri" w:eastAsia="Calibri" w:hAnsi="Calibri" w:cs="Calibri"/>
          <w:sz w:val="22"/>
          <w:szCs w:val="22"/>
          <w:lang w:val="es-ES"/>
        </w:rPr>
        <w:t xml:space="preserve">La revisión de la malla curricular permite asegurar que los contenidos del proceso formativo respondan a los enfoques de género, derechos humanos, interseccionalidad e interculturalidad, así como a las necesidades y prioridades de las mujeres en los territorios, en cumplimiento del hito comprometido en el 7.º </w:t>
      </w:r>
      <w:r w:rsidRPr="00AB6B1E">
        <w:rPr>
          <w:rFonts w:ascii="Calibri" w:eastAsia="Calibri" w:hAnsi="Calibri" w:cs="Calibri"/>
          <w:sz w:val="22"/>
          <w:szCs w:val="22"/>
        </w:rPr>
        <w:t>Plan de Acción Nacional de Gobierno Abierto 2026-2027.</w:t>
      </w:r>
    </w:p>
    <w:sectPr w:rsidR="00514738" w:rsidRPr="00AB6B1E">
      <w:headerReference w:type="default" r:id="rId7"/>
      <w:footerReference w:type="default" r:id="rId8"/>
      <w:pgSz w:w="12240" w:h="15840"/>
      <w:pgMar w:top="1650" w:right="1400" w:bottom="1300" w:left="1400"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A0129" w14:textId="77777777" w:rsidR="00574FFA" w:rsidRDefault="00574FFA">
      <w:r>
        <w:separator/>
      </w:r>
    </w:p>
  </w:endnote>
  <w:endnote w:type="continuationSeparator" w:id="0">
    <w:p w14:paraId="3ECCC684" w14:textId="77777777" w:rsidR="00574FFA" w:rsidRDefault="00574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500"/>
      <w:gridCol w:w="1500"/>
    </w:tblGrid>
    <w:tr w:rsidR="00AB6B1E" w14:paraId="69AE0639" w14:textId="77777777">
      <w:tc>
        <w:tcPr>
          <w:tcW w:w="75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39512B3" w14:textId="157D36EA" w:rsidR="00AB6B1E" w:rsidRPr="00AB6B1E" w:rsidRDefault="00AB6B1E" w:rsidP="00AB6B1E">
          <w:pPr>
            <w:rPr>
              <w:lang w:val="es-ES"/>
            </w:rPr>
          </w:pPr>
          <w:r>
            <w:rPr>
              <w:noProof/>
            </w:rPr>
            <w:drawing>
              <wp:anchor distT="0" distB="0" distL="114300" distR="114300" simplePos="0" relativeHeight="251659264" behindDoc="0" locked="0" layoutInCell="1" allowOverlap="1" wp14:anchorId="3675EFF5" wp14:editId="31BCCA9E">
                <wp:simplePos x="0" y="0"/>
                <wp:positionH relativeFrom="margin">
                  <wp:posOffset>0</wp:posOffset>
                </wp:positionH>
                <wp:positionV relativeFrom="paragraph">
                  <wp:posOffset>-320040</wp:posOffset>
                </wp:positionV>
                <wp:extent cx="5753100" cy="689610"/>
                <wp:effectExtent l="0" t="0" r="0" b="0"/>
                <wp:wrapNone/>
                <wp:docPr id="5795582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8295" name="Imagen 1"/>
                        <pic:cNvPicPr>
                          <a:picLocks noChangeAspect="1"/>
                        </pic:cNvPicPr>
                      </pic:nvPicPr>
                      <pic:blipFill rotWithShape="1">
                        <a:blip r:embed="rId1">
                          <a:extLst>
                            <a:ext uri="{28A0092B-C50C-407E-A947-70E740481C1C}">
                              <a14:useLocalDpi xmlns:a14="http://schemas.microsoft.com/office/drawing/2010/main" val="0"/>
                            </a:ext>
                          </a:extLst>
                        </a:blip>
                        <a:srcRect l="7606" r="7324"/>
                        <a:stretch>
                          <a:fillRect/>
                        </a:stretch>
                      </pic:blipFill>
                      <pic:spPr bwMode="auto">
                        <a:xfrm>
                          <a:off x="0" y="0"/>
                          <a:ext cx="5753100" cy="689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5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8FB3F09" w14:textId="08E9E6F4" w:rsidR="00AB6B1E" w:rsidRDefault="00AB6B1E" w:rsidP="00AB6B1E">
          <w:pP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4196" w14:textId="77777777" w:rsidR="00574FFA" w:rsidRDefault="00574FFA">
      <w:r>
        <w:separator/>
      </w:r>
    </w:p>
  </w:footnote>
  <w:footnote w:type="continuationSeparator" w:id="0">
    <w:p w14:paraId="5FD4D727" w14:textId="77777777" w:rsidR="00574FFA" w:rsidRDefault="00574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3000"/>
      <w:gridCol w:w="3000"/>
    </w:tblGrid>
    <w:tr w:rsidR="00514738" w14:paraId="4F7389AE"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vAlign w:val="center"/>
        </w:tcPr>
        <w:p w14:paraId="29A475DB" w14:textId="77777777" w:rsidR="00514738" w:rsidRDefault="00000000">
          <w:r>
            <w:rPr>
              <w:noProof/>
            </w:rPr>
            <w:drawing>
              <wp:inline distT="0" distB="0" distL="0" distR="0" wp14:anchorId="35BB1F29" wp14:editId="66A74554">
                <wp:extent cx="1428750" cy="5810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81025"/>
                        </a:xfrm>
                        <a:prstGeom prst="rect">
                          <a:avLst/>
                        </a:prstGeom>
                      </pic:spPr>
                    </pic:pic>
                  </a:graphicData>
                </a:graphic>
              </wp:inline>
            </w:drawing>
          </w:r>
        </w:p>
      </w:tc>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54A0DC1" w14:textId="77777777" w:rsidR="00514738" w:rsidRDefault="00514738">
          <w:pPr>
            <w:jc w:val="center"/>
          </w:pPr>
        </w:p>
      </w:tc>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4FE6B9F" w14:textId="77777777" w:rsidR="00514738" w:rsidRDefault="00000000">
          <w:pPr>
            <w:jc w:val="right"/>
          </w:pPr>
          <w:r>
            <w:rPr>
              <w:noProof/>
            </w:rPr>
            <w:drawing>
              <wp:inline distT="0" distB="0" distL="0" distR="0" wp14:anchorId="3A1B94C3" wp14:editId="4F26D03C">
                <wp:extent cx="590550" cy="581025"/>
                <wp:effectExtent l="0" t="0" r="0" b="0"/>
                <wp:docPr id="808787206" name="Imagen 80878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81025"/>
                        </a:xfrm>
                        <a:prstGeom prst="rect">
                          <a:avLst/>
                        </a:prstGeom>
                      </pic:spPr>
                    </pic:pic>
                  </a:graphicData>
                </a:graphic>
              </wp:inline>
            </w:drawing>
          </w:r>
        </w:p>
      </w:tc>
    </w:tr>
  </w:tbl>
  <w:p w14:paraId="1E75A6AA" w14:textId="7664D646" w:rsidR="00514738" w:rsidRDefault="00514738">
    <w:pPr>
      <w:spacing w:after="1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57A03"/>
    <w:multiLevelType w:val="hybridMultilevel"/>
    <w:tmpl w:val="33AEE9F2"/>
    <w:lvl w:ilvl="0" w:tplc="90EE81DA">
      <w:start w:val="1"/>
      <w:numFmt w:val="bullet"/>
      <w:lvlText w:val="•"/>
      <w:lvlJc w:val="left"/>
      <w:pPr>
        <w:ind w:left="504" w:hanging="288"/>
      </w:pPr>
    </w:lvl>
    <w:lvl w:ilvl="1" w:tplc="F1DAB8D8">
      <w:numFmt w:val="decimal"/>
      <w:lvlText w:val=""/>
      <w:lvlJc w:val="left"/>
    </w:lvl>
    <w:lvl w:ilvl="2" w:tplc="C9FC637A">
      <w:numFmt w:val="decimal"/>
      <w:lvlText w:val=""/>
      <w:lvlJc w:val="left"/>
    </w:lvl>
    <w:lvl w:ilvl="3" w:tplc="DE6A05FC">
      <w:numFmt w:val="decimal"/>
      <w:lvlText w:val=""/>
      <w:lvlJc w:val="left"/>
    </w:lvl>
    <w:lvl w:ilvl="4" w:tplc="0C54542A">
      <w:numFmt w:val="decimal"/>
      <w:lvlText w:val=""/>
      <w:lvlJc w:val="left"/>
    </w:lvl>
    <w:lvl w:ilvl="5" w:tplc="60B2EEE2">
      <w:numFmt w:val="decimal"/>
      <w:lvlText w:val=""/>
      <w:lvlJc w:val="left"/>
    </w:lvl>
    <w:lvl w:ilvl="6" w:tplc="D8D0535C">
      <w:numFmt w:val="decimal"/>
      <w:lvlText w:val=""/>
      <w:lvlJc w:val="left"/>
    </w:lvl>
    <w:lvl w:ilvl="7" w:tplc="845E73E0">
      <w:numFmt w:val="decimal"/>
      <w:lvlText w:val=""/>
      <w:lvlJc w:val="left"/>
    </w:lvl>
    <w:lvl w:ilvl="8" w:tplc="F1E0AAC2">
      <w:numFmt w:val="decimal"/>
      <w:lvlText w:val=""/>
      <w:lvlJc w:val="left"/>
    </w:lvl>
  </w:abstractNum>
  <w:abstractNum w:abstractNumId="1" w15:restartNumberingAfterBreak="0">
    <w:nsid w:val="42C6791E"/>
    <w:multiLevelType w:val="hybridMultilevel"/>
    <w:tmpl w:val="9D903554"/>
    <w:lvl w:ilvl="0" w:tplc="5C72FFA4">
      <w:start w:val="1"/>
      <w:numFmt w:val="bullet"/>
      <w:lvlText w:val="●"/>
      <w:lvlJc w:val="left"/>
      <w:pPr>
        <w:ind w:left="720" w:hanging="360"/>
      </w:pPr>
    </w:lvl>
    <w:lvl w:ilvl="1" w:tplc="D2221A3E">
      <w:start w:val="1"/>
      <w:numFmt w:val="bullet"/>
      <w:lvlText w:val="○"/>
      <w:lvlJc w:val="left"/>
      <w:pPr>
        <w:ind w:left="1440" w:hanging="360"/>
      </w:pPr>
    </w:lvl>
    <w:lvl w:ilvl="2" w:tplc="091A922E">
      <w:start w:val="1"/>
      <w:numFmt w:val="bullet"/>
      <w:lvlText w:val="■"/>
      <w:lvlJc w:val="left"/>
      <w:pPr>
        <w:ind w:left="2160" w:hanging="360"/>
      </w:pPr>
    </w:lvl>
    <w:lvl w:ilvl="3" w:tplc="6C5ED556">
      <w:start w:val="1"/>
      <w:numFmt w:val="bullet"/>
      <w:lvlText w:val="●"/>
      <w:lvlJc w:val="left"/>
      <w:pPr>
        <w:ind w:left="2880" w:hanging="360"/>
      </w:pPr>
    </w:lvl>
    <w:lvl w:ilvl="4" w:tplc="E2DE23E0">
      <w:start w:val="1"/>
      <w:numFmt w:val="bullet"/>
      <w:lvlText w:val="○"/>
      <w:lvlJc w:val="left"/>
      <w:pPr>
        <w:ind w:left="3600" w:hanging="360"/>
      </w:pPr>
    </w:lvl>
    <w:lvl w:ilvl="5" w:tplc="C5921D7C">
      <w:start w:val="1"/>
      <w:numFmt w:val="bullet"/>
      <w:lvlText w:val="■"/>
      <w:lvlJc w:val="left"/>
      <w:pPr>
        <w:ind w:left="4320" w:hanging="360"/>
      </w:pPr>
    </w:lvl>
    <w:lvl w:ilvl="6" w:tplc="8738E9AA">
      <w:start w:val="1"/>
      <w:numFmt w:val="bullet"/>
      <w:lvlText w:val="●"/>
      <w:lvlJc w:val="left"/>
      <w:pPr>
        <w:ind w:left="5040" w:hanging="360"/>
      </w:pPr>
    </w:lvl>
    <w:lvl w:ilvl="7" w:tplc="B4804AA6">
      <w:start w:val="1"/>
      <w:numFmt w:val="bullet"/>
      <w:lvlText w:val="●"/>
      <w:lvlJc w:val="left"/>
      <w:pPr>
        <w:ind w:left="5760" w:hanging="360"/>
      </w:pPr>
    </w:lvl>
    <w:lvl w:ilvl="8" w:tplc="36024BB6">
      <w:start w:val="1"/>
      <w:numFmt w:val="bullet"/>
      <w:lvlText w:val="●"/>
      <w:lvlJc w:val="left"/>
      <w:pPr>
        <w:ind w:left="6480" w:hanging="360"/>
      </w:pPr>
    </w:lvl>
  </w:abstractNum>
  <w:num w:numId="1" w16cid:durableId="1950965274">
    <w:abstractNumId w:val="1"/>
    <w:lvlOverride w:ilvl="0">
      <w:startOverride w:val="1"/>
    </w:lvlOverride>
  </w:num>
  <w:num w:numId="2" w16cid:durableId="16975857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738"/>
    <w:rsid w:val="003618EB"/>
    <w:rsid w:val="00514738"/>
    <w:rsid w:val="00574FFA"/>
    <w:rsid w:val="009A0B7F"/>
    <w:rsid w:val="00AB6B1E"/>
    <w:rsid w:val="00F319ED"/>
    <w:rsid w:val="00F5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BFEE5"/>
  <w15:docId w15:val="{F7C7A2F3-5B02-4883-AE6E-3CC6E361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AB6B1E"/>
    <w:pPr>
      <w:tabs>
        <w:tab w:val="center" w:pos="4680"/>
        <w:tab w:val="right" w:pos="9360"/>
      </w:tabs>
    </w:pPr>
  </w:style>
  <w:style w:type="character" w:customStyle="1" w:styleId="EncabezadoCar">
    <w:name w:val="Encabezado Car"/>
    <w:basedOn w:val="Fuentedeprrafopredeter"/>
    <w:link w:val="Encabezado"/>
    <w:uiPriority w:val="99"/>
    <w:rsid w:val="00AB6B1E"/>
  </w:style>
  <w:style w:type="paragraph" w:styleId="Piedepgina">
    <w:name w:val="footer"/>
    <w:basedOn w:val="Normal"/>
    <w:link w:val="PiedepginaCar"/>
    <w:uiPriority w:val="99"/>
    <w:unhideWhenUsed/>
    <w:rsid w:val="00AB6B1E"/>
    <w:pPr>
      <w:tabs>
        <w:tab w:val="center" w:pos="4680"/>
        <w:tab w:val="right" w:pos="9360"/>
      </w:tabs>
    </w:pPr>
  </w:style>
  <w:style w:type="character" w:customStyle="1" w:styleId="PiedepginaCar">
    <w:name w:val="Pie de página Car"/>
    <w:basedOn w:val="Fuentedeprrafopredeter"/>
    <w:link w:val="Piedepgina"/>
    <w:uiPriority w:val="99"/>
    <w:rsid w:val="00AB6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854</Words>
  <Characters>5255</Characters>
  <Application>Microsoft Office Word</Application>
  <DocSecurity>0</DocSecurity>
  <Lines>69</Lines>
  <Paragraphs>23</Paragraphs>
  <ScaleCrop>false</ScaleCrop>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Mayra Cristina López</cp:lastModifiedBy>
  <cp:revision>3</cp:revision>
  <dcterms:created xsi:type="dcterms:W3CDTF">2026-07-31T21:32:00Z</dcterms:created>
  <dcterms:modified xsi:type="dcterms:W3CDTF">2026-07-31T22:23:00Z</dcterms:modified>
</cp:coreProperties>
</file>