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32C5C" w14:textId="0EE689A6" w:rsidR="004905E1" w:rsidRDefault="00000000" w:rsidP="00DA212F">
      <w:pPr>
        <w:spacing w:line="360" w:lineRule="auto"/>
        <w:jc w:val="center"/>
        <w:rPr>
          <w:rFonts w:ascii="Arial" w:hAnsi="Arial" w:cs="Arial"/>
        </w:rPr>
      </w:pPr>
      <w:r>
        <w:rPr>
          <w:rFonts w:ascii="Arial" w:hAnsi="Arial" w:cs="Arial"/>
          <w:b/>
          <w:bCs/>
          <w:sz w:val="24"/>
          <w:szCs w:val="24"/>
        </w:rPr>
        <w:t>Informe sobre Cumplimiento y Medios de Verificación del Hito 3</w:t>
      </w:r>
    </w:p>
    <w:p w14:paraId="08498052" w14:textId="77777777" w:rsidR="004905E1" w:rsidRDefault="00000000" w:rsidP="00DA212F">
      <w:pPr>
        <w:spacing w:line="360" w:lineRule="auto"/>
        <w:jc w:val="both"/>
        <w:rPr>
          <w:rFonts w:ascii="Arial" w:hAnsi="Arial" w:cs="Arial"/>
          <w:b/>
          <w:bCs/>
          <w:sz w:val="24"/>
          <w:szCs w:val="24"/>
        </w:rPr>
      </w:pPr>
      <w:r>
        <w:rPr>
          <w:rFonts w:ascii="Arial" w:hAnsi="Arial" w:cs="Arial"/>
          <w:b/>
          <w:bCs/>
          <w:sz w:val="24"/>
          <w:szCs w:val="24"/>
        </w:rPr>
        <w:t>Monitoreo y Mantenimiento de la Difusión Digital de los Informes de Avances Relativos a Tratados y Acuerdos Internacionales para la Garantía de los Derechos Humanos de las Mujeres en el Sitio Oficial de la SEPREM</w:t>
      </w:r>
    </w:p>
    <w:p w14:paraId="06CC746D" w14:textId="77777777" w:rsidR="00DA212F" w:rsidRDefault="00DA212F" w:rsidP="00DA212F">
      <w:pPr>
        <w:spacing w:line="360" w:lineRule="auto"/>
        <w:jc w:val="both"/>
        <w:rPr>
          <w:rFonts w:ascii="Arial" w:hAnsi="Arial" w:cs="Arial"/>
        </w:rPr>
      </w:pPr>
    </w:p>
    <w:p w14:paraId="6C9B3AA2" w14:textId="4E899CA1" w:rsidR="004905E1" w:rsidRDefault="00000000" w:rsidP="00DA212F">
      <w:pPr>
        <w:spacing w:line="360" w:lineRule="auto"/>
        <w:jc w:val="both"/>
        <w:rPr>
          <w:rFonts w:ascii="Arial" w:hAnsi="Arial" w:cs="Arial"/>
          <w:sz w:val="24"/>
          <w:szCs w:val="24"/>
        </w:rPr>
      </w:pPr>
      <w:r>
        <w:rPr>
          <w:rFonts w:ascii="Arial" w:hAnsi="Arial" w:cs="Arial"/>
          <w:sz w:val="24"/>
          <w:szCs w:val="24"/>
        </w:rPr>
        <w:t xml:space="preserve">La Secretaría Presidencial de la Mujer </w:t>
      </w:r>
      <w:r w:rsidR="00711A88">
        <w:rPr>
          <w:rFonts w:ascii="Arial" w:hAnsi="Arial" w:cs="Arial"/>
          <w:sz w:val="24"/>
          <w:szCs w:val="24"/>
        </w:rPr>
        <w:t>-</w:t>
      </w:r>
      <w:r>
        <w:rPr>
          <w:rFonts w:ascii="Arial" w:hAnsi="Arial" w:cs="Arial"/>
          <w:sz w:val="24"/>
          <w:szCs w:val="24"/>
        </w:rPr>
        <w:t>SEPREM</w:t>
      </w:r>
      <w:r w:rsidR="00711A88">
        <w:rPr>
          <w:rFonts w:ascii="Arial" w:hAnsi="Arial" w:cs="Arial"/>
          <w:sz w:val="24"/>
          <w:szCs w:val="24"/>
        </w:rPr>
        <w:t>-</w:t>
      </w:r>
      <w:r>
        <w:rPr>
          <w:rFonts w:ascii="Arial" w:hAnsi="Arial" w:cs="Arial"/>
          <w:sz w:val="24"/>
          <w:szCs w:val="24"/>
        </w:rPr>
        <w:t>, en su calidad de ente rector de las políticas públicas para el desarrollo integral de las mujeres, articula su mandato con la agenda de Gobierno Abierto para transformar los compromisos de igualdad en la gestión pública a través de la transparencia, la rendición de cuentas, la participación ciudadana y la innovación tecnológica.</w:t>
      </w:r>
    </w:p>
    <w:p w14:paraId="1A254C2B" w14:textId="77777777" w:rsidR="00DA212F" w:rsidRDefault="00DA212F" w:rsidP="00DA212F">
      <w:pPr>
        <w:spacing w:line="360" w:lineRule="auto"/>
        <w:jc w:val="both"/>
        <w:rPr>
          <w:rFonts w:ascii="Arial" w:hAnsi="Arial" w:cs="Arial"/>
        </w:rPr>
      </w:pPr>
    </w:p>
    <w:p w14:paraId="23E7D614" w14:textId="77777777" w:rsidR="004905E1" w:rsidRDefault="00000000" w:rsidP="00DA212F">
      <w:pPr>
        <w:spacing w:line="360" w:lineRule="auto"/>
        <w:jc w:val="both"/>
        <w:rPr>
          <w:rFonts w:ascii="Arial" w:hAnsi="Arial" w:cs="Arial"/>
        </w:rPr>
      </w:pPr>
      <w:r>
        <w:rPr>
          <w:rFonts w:ascii="Arial" w:hAnsi="Arial" w:cs="Arial"/>
          <w:sz w:val="24"/>
          <w:szCs w:val="24"/>
        </w:rPr>
        <w:t>El 7.º Plan de Acción Nacional de Gobierno Abierto 2026-2027 consolida las prioridades de la sociedad civil en cuatro ejes normativos: Seguridad Alimentaria y Nutricional; Prevención de la Violencia contra las Mujeres; Migración; y Medio Ambiente.</w:t>
      </w:r>
    </w:p>
    <w:p w14:paraId="100C898C" w14:textId="77777777" w:rsidR="004905E1" w:rsidRDefault="00000000" w:rsidP="00DA212F">
      <w:pPr>
        <w:spacing w:line="360" w:lineRule="auto"/>
        <w:jc w:val="both"/>
        <w:rPr>
          <w:rFonts w:ascii="Arial" w:hAnsi="Arial" w:cs="Arial"/>
          <w:sz w:val="24"/>
          <w:szCs w:val="24"/>
        </w:rPr>
      </w:pPr>
      <w:r>
        <w:rPr>
          <w:rFonts w:ascii="Arial" w:hAnsi="Arial" w:cs="Arial"/>
          <w:sz w:val="24"/>
          <w:szCs w:val="24"/>
        </w:rPr>
        <w:t>Para el cumplimiento del Eje de Prevención de la Violencia contra las Mujeres, la SEPREM lidera el fortalecimiento de capacidades técnicas y la habilitación de los medios de verificación vinculados a los hitos comprometidos.</w:t>
      </w:r>
    </w:p>
    <w:p w14:paraId="4C056FE3" w14:textId="77777777" w:rsidR="00DA212F" w:rsidRDefault="00DA212F" w:rsidP="00DA212F">
      <w:pPr>
        <w:spacing w:line="360" w:lineRule="auto"/>
        <w:jc w:val="both"/>
        <w:rPr>
          <w:rFonts w:ascii="Arial" w:hAnsi="Arial" w:cs="Arial"/>
        </w:rPr>
      </w:pPr>
    </w:p>
    <w:p w14:paraId="07A241DE" w14:textId="77777777" w:rsidR="004905E1" w:rsidRDefault="00000000" w:rsidP="00DA212F">
      <w:pPr>
        <w:spacing w:line="360" w:lineRule="auto"/>
        <w:jc w:val="both"/>
        <w:rPr>
          <w:rFonts w:ascii="Arial" w:hAnsi="Arial" w:cs="Arial"/>
          <w:sz w:val="24"/>
          <w:szCs w:val="24"/>
        </w:rPr>
      </w:pPr>
      <w:r>
        <w:rPr>
          <w:rFonts w:ascii="Arial" w:hAnsi="Arial" w:cs="Arial"/>
          <w:sz w:val="24"/>
          <w:szCs w:val="24"/>
        </w:rPr>
        <w:t>En esta ocasión se presenta el medio de verificación de la actividad PVCM-H3-A3, «</w:t>
      </w:r>
      <w:r w:rsidRPr="0013310D">
        <w:rPr>
          <w:rFonts w:ascii="Arial" w:hAnsi="Arial" w:cs="Arial"/>
          <w:b/>
          <w:bCs/>
          <w:sz w:val="24"/>
          <w:szCs w:val="24"/>
        </w:rPr>
        <w:t>Monitoreo y mantenimiento de carga y difusión digital de los informes de avances relativos a tratados y acuerdos internacionales para la garantía de los derechos humanos de las mujeres en el sitio oficial de la SEPREM</w:t>
      </w:r>
      <w:r>
        <w:rPr>
          <w:rFonts w:ascii="Arial" w:hAnsi="Arial" w:cs="Arial"/>
          <w:sz w:val="24"/>
          <w:szCs w:val="24"/>
        </w:rPr>
        <w:t>», correspondiente al hito «</w:t>
      </w:r>
      <w:r w:rsidRPr="0013310D">
        <w:rPr>
          <w:rFonts w:ascii="Arial" w:hAnsi="Arial" w:cs="Arial"/>
          <w:b/>
          <w:bCs/>
          <w:sz w:val="24"/>
          <w:szCs w:val="24"/>
        </w:rPr>
        <w:t>Facilitar y socializar información sobre el cumplimiento de los convenios internacionales en materia de derechos humanos de las mujeres por medio de formatos accesibles en el portal de SEPREM</w:t>
      </w:r>
      <w:r>
        <w:rPr>
          <w:rFonts w:ascii="Arial" w:hAnsi="Arial" w:cs="Arial"/>
          <w:sz w:val="24"/>
          <w:szCs w:val="24"/>
        </w:rPr>
        <w:t>», con fecha de cumplimiento al 30 de septiembre de 2026.</w:t>
      </w:r>
    </w:p>
    <w:p w14:paraId="76C5926C" w14:textId="77777777" w:rsidR="00DA212F" w:rsidRDefault="00DA212F" w:rsidP="00DA212F">
      <w:pPr>
        <w:spacing w:line="360" w:lineRule="auto"/>
        <w:jc w:val="both"/>
        <w:rPr>
          <w:rFonts w:ascii="Arial" w:hAnsi="Arial" w:cs="Arial"/>
        </w:rPr>
      </w:pPr>
    </w:p>
    <w:p w14:paraId="148F42F5" w14:textId="77777777" w:rsidR="004905E1" w:rsidRDefault="00000000" w:rsidP="00DA212F">
      <w:pPr>
        <w:spacing w:line="360" w:lineRule="auto"/>
        <w:jc w:val="both"/>
        <w:rPr>
          <w:rFonts w:ascii="Arial" w:hAnsi="Arial" w:cs="Arial"/>
        </w:rPr>
      </w:pPr>
      <w:r>
        <w:rPr>
          <w:rFonts w:ascii="Arial" w:hAnsi="Arial" w:cs="Arial"/>
          <w:sz w:val="24"/>
          <w:szCs w:val="24"/>
        </w:rPr>
        <w:t xml:space="preserve">Como parte del cumplimiento de este hito, y una vez habilitada la sección «Hitos» dentro del portal institucional, la SEPREM ha dado seguimiento constante a la disponibilidad, actualización y difusión digital de los informes de Estado en materia de Derechos </w:t>
      </w:r>
      <w:r>
        <w:rPr>
          <w:rFonts w:ascii="Arial" w:hAnsi="Arial" w:cs="Arial"/>
          <w:sz w:val="24"/>
          <w:szCs w:val="24"/>
        </w:rPr>
        <w:lastRenderedPageBreak/>
        <w:t>Humanos de las Mujeres. Esta actividad consiste en el monitoreo del acceso público a dichos informes y en el mantenimiento de la plataforma, garantizando su correcto funcionamiento y la revisión continua de los nuevos informes finales publicados.</w:t>
      </w:r>
    </w:p>
    <w:p w14:paraId="57085F15" w14:textId="77777777" w:rsidR="004905E1" w:rsidRDefault="00000000" w:rsidP="00DA212F">
      <w:pPr>
        <w:keepNext/>
        <w:spacing w:line="360" w:lineRule="auto"/>
        <w:jc w:val="both"/>
        <w:rPr>
          <w:rFonts w:ascii="Arial" w:hAnsi="Arial" w:cs="Arial"/>
          <w:b/>
          <w:bCs/>
          <w:sz w:val="24"/>
          <w:szCs w:val="24"/>
        </w:rPr>
      </w:pPr>
      <w:r>
        <w:rPr>
          <w:rFonts w:ascii="Arial" w:hAnsi="Arial" w:cs="Arial"/>
          <w:b/>
          <w:bCs/>
          <w:sz w:val="24"/>
          <w:szCs w:val="24"/>
        </w:rPr>
        <w:t>Periodo Monitoreado</w:t>
      </w:r>
    </w:p>
    <w:p w14:paraId="10B80216" w14:textId="77777777" w:rsidR="00C541D7" w:rsidRDefault="00C541D7" w:rsidP="00DA212F">
      <w:pPr>
        <w:keepNext/>
        <w:spacing w:line="360" w:lineRule="auto"/>
        <w:jc w:val="both"/>
        <w:rPr>
          <w:rFonts w:ascii="Arial" w:hAnsi="Arial" w:cs="Arial"/>
        </w:rPr>
      </w:pPr>
    </w:p>
    <w:p w14:paraId="77349DAA" w14:textId="77777777" w:rsidR="004905E1" w:rsidRDefault="00000000" w:rsidP="00DA212F">
      <w:pPr>
        <w:spacing w:line="360" w:lineRule="auto"/>
        <w:jc w:val="both"/>
        <w:rPr>
          <w:rFonts w:ascii="Arial" w:hAnsi="Arial" w:cs="Arial"/>
          <w:sz w:val="24"/>
          <w:szCs w:val="24"/>
        </w:rPr>
      </w:pPr>
      <w:r>
        <w:rPr>
          <w:rFonts w:ascii="Arial" w:hAnsi="Arial" w:cs="Arial"/>
          <w:sz w:val="24"/>
          <w:szCs w:val="24"/>
        </w:rPr>
        <w:t>El periodo de monitoreo comprende del 31 de julio de 2026, fecha de habilitación de la sección «Hitos», al 30 de septiembre de 2026, fecha de cumplimiento de la actividad, para un total de 62 días.</w:t>
      </w:r>
    </w:p>
    <w:p w14:paraId="4BD45B2D" w14:textId="77777777" w:rsidR="00C541D7" w:rsidRDefault="00C541D7" w:rsidP="00DA212F">
      <w:pPr>
        <w:spacing w:line="360" w:lineRule="auto"/>
        <w:jc w:val="both"/>
        <w:rPr>
          <w:rFonts w:ascii="Arial" w:hAnsi="Arial" w:cs="Arial"/>
        </w:rPr>
      </w:pPr>
    </w:p>
    <w:p w14:paraId="38917852" w14:textId="77777777" w:rsidR="004905E1" w:rsidRDefault="00000000" w:rsidP="00DA212F">
      <w:pPr>
        <w:keepNext/>
        <w:spacing w:line="360" w:lineRule="auto"/>
        <w:jc w:val="both"/>
        <w:rPr>
          <w:rFonts w:ascii="Arial" w:hAnsi="Arial" w:cs="Arial"/>
        </w:rPr>
      </w:pPr>
      <w:r>
        <w:rPr>
          <w:rFonts w:ascii="Arial" w:hAnsi="Arial" w:cs="Arial"/>
          <w:b/>
          <w:bCs/>
          <w:sz w:val="24"/>
          <w:szCs w:val="24"/>
        </w:rPr>
        <w:t>Mantenimiento y Actualización de la Sección «Hitos»</w:t>
      </w:r>
    </w:p>
    <w:p w14:paraId="3FC1BB7B" w14:textId="77777777" w:rsidR="004905E1" w:rsidRDefault="00000000" w:rsidP="00DA212F">
      <w:pPr>
        <w:spacing w:line="360" w:lineRule="auto"/>
        <w:jc w:val="both"/>
        <w:rPr>
          <w:rFonts w:ascii="Arial" w:hAnsi="Arial" w:cs="Arial"/>
          <w:sz w:val="24"/>
          <w:szCs w:val="24"/>
        </w:rPr>
      </w:pPr>
      <w:r>
        <w:rPr>
          <w:rFonts w:ascii="Arial" w:hAnsi="Arial" w:cs="Arial"/>
          <w:sz w:val="24"/>
          <w:szCs w:val="24"/>
        </w:rPr>
        <w:t>Durante el periodo monitoreado, la SEPREM realizó la revisión periódica de la sección «Hitos», verificando la disponibilidad del enlace público, la correcta visualización y descarga de los documentos publicados y el funcionamiento general de la plataforma. Asimismo, se dio seguimiento a la emisión de nuevos informes finales del Estado en materia de Derechos Humanos de las Mujeres.</w:t>
      </w:r>
    </w:p>
    <w:p w14:paraId="0642216C" w14:textId="77777777" w:rsidR="00DA212F" w:rsidRDefault="00DA212F" w:rsidP="00DA212F">
      <w:pPr>
        <w:spacing w:line="360" w:lineRule="auto"/>
        <w:jc w:val="both"/>
        <w:rPr>
          <w:rFonts w:ascii="Arial" w:hAnsi="Arial" w:cs="Arial"/>
        </w:rPr>
      </w:pPr>
    </w:p>
    <w:p w14:paraId="3208E781" w14:textId="77777777" w:rsidR="004905E1" w:rsidRDefault="00000000" w:rsidP="00DA212F">
      <w:pPr>
        <w:spacing w:line="360" w:lineRule="auto"/>
        <w:jc w:val="both"/>
        <w:rPr>
          <w:rFonts w:ascii="Arial" w:hAnsi="Arial" w:cs="Arial"/>
          <w:sz w:val="24"/>
          <w:szCs w:val="24"/>
        </w:rPr>
      </w:pPr>
      <w:r>
        <w:rPr>
          <w:rFonts w:ascii="Arial" w:hAnsi="Arial" w:cs="Arial"/>
          <w:sz w:val="24"/>
          <w:szCs w:val="24"/>
        </w:rPr>
        <w:t>En este periodo no se recibieron, por parte de las unidades sustantivas, nuevos informes finales del Estado para su publicación, por lo que no fue necesario realizar actualizaciones de contenido. Al 30 de septiembre de 2026, la sección mantiene disponibles para su consulta y descarga los 14 documentos publicados en la actividad PVCM-H3-A1: uno en la categoría de tratados y convenios internacionales, siete en informes CEDAW y seis en informes Belém do Pará. La sección permanece habilitada para incorporar los nuevos informes que sean emitidos.</w:t>
      </w:r>
    </w:p>
    <w:p w14:paraId="6F5A9566" w14:textId="77777777" w:rsidR="004905E1" w:rsidRPr="00C541D7" w:rsidRDefault="00000000" w:rsidP="00D24090">
      <w:pPr>
        <w:keepNext/>
        <w:spacing w:line="360" w:lineRule="auto"/>
        <w:jc w:val="center"/>
        <w:rPr>
          <w:rFonts w:ascii="Arial" w:hAnsi="Arial" w:cs="Arial"/>
          <w:b/>
          <w:bCs/>
        </w:rPr>
      </w:pPr>
      <w:r w:rsidRPr="00C541D7">
        <w:rPr>
          <w:rFonts w:ascii="Arial" w:hAnsi="Arial" w:cs="Arial"/>
          <w:b/>
          <w:bCs/>
          <w:sz w:val="24"/>
          <w:szCs w:val="24"/>
        </w:rPr>
        <w:lastRenderedPageBreak/>
        <w:t>Documentos Publicados y Disponibles en la Sección «Hitos»</w:t>
      </w:r>
    </w:p>
    <w:tbl>
      <w:tblPr>
        <w:tblW w:w="9360" w:type="dxa"/>
        <w:jc w:val="center"/>
        <w:tblBorders>
          <w:top w:val="nil"/>
          <w:left w:val="nil"/>
          <w:bottom w:val="nil"/>
          <w:right w:val="nil"/>
          <w:insideH w:val="nil"/>
          <w:insideV w:val="nil"/>
        </w:tblBorders>
        <w:tblLayout w:type="fixed"/>
        <w:tblCellMar>
          <w:left w:w="115" w:type="dxa"/>
          <w:right w:w="115" w:type="dxa"/>
        </w:tblCellMar>
        <w:tblLook w:val="04A0" w:firstRow="1" w:lastRow="0" w:firstColumn="1" w:lastColumn="0" w:noHBand="0" w:noVBand="1"/>
      </w:tblPr>
      <w:tblGrid>
        <w:gridCol w:w="1000"/>
        <w:gridCol w:w="8360"/>
      </w:tblGrid>
      <w:tr w:rsidR="0085030F" w14:paraId="611BE6C4" w14:textId="77777777" w:rsidTr="0015483A">
        <w:trPr>
          <w:cantSplit/>
          <w:tblHeader/>
          <w:jc w:val="center"/>
        </w:trPr>
        <w:tc>
          <w:tcPr>
            <w:tcW w:w="1000" w:type="dxa"/>
            <w:tcBorders>
              <w:top w:val="single" w:sz="4" w:space="0" w:color="auto"/>
              <w:left w:val="nil"/>
              <w:bottom w:val="nil"/>
              <w:right w:val="nil"/>
            </w:tcBorders>
            <w:vAlign w:val="center"/>
          </w:tcPr>
          <w:p w14:paraId="01225F3F" w14:textId="77777777" w:rsidR="0085030F" w:rsidRDefault="00000000">
            <w:pPr>
              <w:keepNext/>
              <w:spacing w:before="60" w:after="60"/>
              <w:jc w:val="center"/>
              <w:rPr>
                <w:rFonts w:ascii="Arial" w:hAnsi="Arial" w:cs="Arial"/>
              </w:rPr>
            </w:pPr>
            <w:r>
              <w:rPr>
                <w:rFonts w:ascii="Arial" w:hAnsi="Arial" w:cs="Arial"/>
                <w:b/>
                <w:bCs/>
                <w:sz w:val="24"/>
                <w:szCs w:val="24"/>
              </w:rPr>
              <w:t>No.</w:t>
            </w:r>
          </w:p>
        </w:tc>
        <w:tc>
          <w:tcPr>
            <w:tcW w:w="8360" w:type="dxa"/>
            <w:tcBorders>
              <w:top w:val="single" w:sz="4" w:space="0" w:color="auto"/>
              <w:left w:val="nil"/>
              <w:bottom w:val="nil"/>
              <w:right w:val="nil"/>
            </w:tcBorders>
            <w:vAlign w:val="center"/>
          </w:tcPr>
          <w:p w14:paraId="1EACAAA9" w14:textId="77777777" w:rsidR="0085030F" w:rsidRDefault="00000000">
            <w:pPr>
              <w:keepNext/>
              <w:spacing w:before="60" w:after="60"/>
              <w:jc w:val="center"/>
              <w:rPr>
                <w:rFonts w:ascii="Arial" w:hAnsi="Arial" w:cs="Arial"/>
              </w:rPr>
            </w:pPr>
            <w:r>
              <w:rPr>
                <w:rFonts w:ascii="Arial" w:hAnsi="Arial" w:cs="Arial"/>
                <w:b/>
                <w:bCs/>
                <w:sz w:val="24"/>
                <w:szCs w:val="24"/>
              </w:rPr>
              <w:t>Documento publicado</w:t>
            </w:r>
          </w:p>
        </w:tc>
      </w:tr>
      <w:tr w:rsidR="0085030F" w14:paraId="32CB2D86" w14:textId="77777777" w:rsidTr="0015483A">
        <w:trPr>
          <w:cantSplit/>
          <w:jc w:val="center"/>
        </w:trPr>
        <w:tc>
          <w:tcPr>
            <w:tcW w:w="9360" w:type="dxa"/>
            <w:gridSpan w:val="2"/>
            <w:tcBorders>
              <w:bottom w:val="nil"/>
            </w:tcBorders>
            <w:vAlign w:val="center"/>
          </w:tcPr>
          <w:p w14:paraId="0670DC96" w14:textId="77777777" w:rsidR="0085030F" w:rsidRDefault="00000000">
            <w:pPr>
              <w:keepNext/>
              <w:spacing w:before="100" w:after="40"/>
              <w:rPr>
                <w:rFonts w:ascii="Arial" w:hAnsi="Arial" w:cs="Arial"/>
              </w:rPr>
            </w:pPr>
            <w:r>
              <w:rPr>
                <w:rFonts w:ascii="Arial" w:hAnsi="Arial" w:cs="Arial"/>
                <w:b/>
                <w:bCs/>
                <w:sz w:val="24"/>
                <w:szCs w:val="24"/>
              </w:rPr>
              <w:t>Tratados y convenios internacionales (1)</w:t>
            </w:r>
          </w:p>
        </w:tc>
      </w:tr>
      <w:tr w:rsidR="0085030F" w14:paraId="64A4425D" w14:textId="77777777" w:rsidTr="0015483A">
        <w:trPr>
          <w:cantSplit/>
          <w:jc w:val="center"/>
        </w:trPr>
        <w:tc>
          <w:tcPr>
            <w:tcW w:w="1000" w:type="dxa"/>
            <w:tcBorders>
              <w:top w:val="nil"/>
              <w:left w:val="nil"/>
              <w:bottom w:val="nil"/>
              <w:right w:val="nil"/>
            </w:tcBorders>
            <w:vAlign w:val="center"/>
          </w:tcPr>
          <w:p w14:paraId="379E4F03" w14:textId="77777777" w:rsidR="0085030F" w:rsidRDefault="00000000">
            <w:pPr>
              <w:keepNext/>
              <w:spacing w:before="30" w:after="30"/>
              <w:jc w:val="center"/>
              <w:rPr>
                <w:rFonts w:ascii="Arial" w:hAnsi="Arial" w:cs="Arial"/>
              </w:rPr>
            </w:pPr>
            <w:r>
              <w:rPr>
                <w:rFonts w:ascii="Arial" w:hAnsi="Arial" w:cs="Arial"/>
                <w:sz w:val="24"/>
                <w:szCs w:val="24"/>
              </w:rPr>
              <w:t>1</w:t>
            </w:r>
          </w:p>
        </w:tc>
        <w:tc>
          <w:tcPr>
            <w:tcW w:w="8360" w:type="dxa"/>
            <w:tcBorders>
              <w:top w:val="nil"/>
              <w:left w:val="nil"/>
              <w:bottom w:val="nil"/>
              <w:right w:val="nil"/>
            </w:tcBorders>
            <w:vAlign w:val="center"/>
          </w:tcPr>
          <w:p w14:paraId="4F49FE0E" w14:textId="77777777" w:rsidR="0085030F" w:rsidRDefault="00000000">
            <w:pPr>
              <w:keepNext/>
              <w:spacing w:before="30" w:after="30"/>
              <w:rPr>
                <w:rFonts w:ascii="Arial" w:hAnsi="Arial" w:cs="Arial"/>
              </w:rPr>
            </w:pPr>
            <w:r>
              <w:rPr>
                <w:rFonts w:ascii="Arial" w:hAnsi="Arial" w:cs="Arial"/>
                <w:sz w:val="24"/>
                <w:szCs w:val="24"/>
              </w:rPr>
              <w:t>Marco normativo y de política pública, PNPDIM</w:t>
            </w:r>
          </w:p>
        </w:tc>
      </w:tr>
      <w:tr w:rsidR="0085030F" w14:paraId="7947562D" w14:textId="77777777" w:rsidTr="0015483A">
        <w:trPr>
          <w:cantSplit/>
          <w:jc w:val="center"/>
        </w:trPr>
        <w:tc>
          <w:tcPr>
            <w:tcW w:w="9360" w:type="dxa"/>
            <w:gridSpan w:val="2"/>
            <w:tcBorders>
              <w:top w:val="nil"/>
            </w:tcBorders>
            <w:vAlign w:val="center"/>
          </w:tcPr>
          <w:p w14:paraId="0C92DD7A" w14:textId="77777777" w:rsidR="0085030F" w:rsidRDefault="00000000">
            <w:pPr>
              <w:keepNext/>
              <w:spacing w:before="100" w:after="40"/>
              <w:rPr>
                <w:rFonts w:ascii="Arial" w:hAnsi="Arial" w:cs="Arial"/>
              </w:rPr>
            </w:pPr>
            <w:r>
              <w:rPr>
                <w:rFonts w:ascii="Arial" w:hAnsi="Arial" w:cs="Arial"/>
                <w:b/>
                <w:bCs/>
                <w:sz w:val="24"/>
                <w:szCs w:val="24"/>
              </w:rPr>
              <w:t>Informes CEDAW (7)</w:t>
            </w:r>
          </w:p>
        </w:tc>
      </w:tr>
      <w:tr w:rsidR="0085030F" w14:paraId="23A3625F" w14:textId="77777777">
        <w:trPr>
          <w:cantSplit/>
          <w:jc w:val="center"/>
        </w:trPr>
        <w:tc>
          <w:tcPr>
            <w:tcW w:w="1000" w:type="dxa"/>
            <w:vAlign w:val="center"/>
          </w:tcPr>
          <w:p w14:paraId="40C1F9C7" w14:textId="77777777" w:rsidR="0085030F" w:rsidRDefault="00000000">
            <w:pPr>
              <w:keepNext/>
              <w:spacing w:before="30" w:after="30"/>
              <w:jc w:val="center"/>
              <w:rPr>
                <w:rFonts w:ascii="Arial" w:hAnsi="Arial" w:cs="Arial"/>
              </w:rPr>
            </w:pPr>
            <w:r>
              <w:rPr>
                <w:rFonts w:ascii="Arial" w:hAnsi="Arial" w:cs="Arial"/>
                <w:sz w:val="24"/>
                <w:szCs w:val="24"/>
              </w:rPr>
              <w:t>2</w:t>
            </w:r>
          </w:p>
        </w:tc>
        <w:tc>
          <w:tcPr>
            <w:tcW w:w="8360" w:type="dxa"/>
            <w:vAlign w:val="center"/>
          </w:tcPr>
          <w:p w14:paraId="6C9823D4" w14:textId="77777777" w:rsidR="0085030F" w:rsidRDefault="00000000">
            <w:pPr>
              <w:keepNext/>
              <w:spacing w:before="30" w:after="30"/>
              <w:rPr>
                <w:rFonts w:ascii="Arial" w:hAnsi="Arial" w:cs="Arial"/>
              </w:rPr>
            </w:pPr>
            <w:r>
              <w:rPr>
                <w:rFonts w:ascii="Arial" w:hAnsi="Arial" w:cs="Arial"/>
                <w:sz w:val="24"/>
                <w:szCs w:val="24"/>
              </w:rPr>
              <w:t>8o y 9o Informe Combinado CEDAW 2016</w:t>
            </w:r>
          </w:p>
        </w:tc>
      </w:tr>
      <w:tr w:rsidR="0085030F" w14:paraId="2E472686" w14:textId="77777777">
        <w:trPr>
          <w:cantSplit/>
          <w:jc w:val="center"/>
        </w:trPr>
        <w:tc>
          <w:tcPr>
            <w:tcW w:w="1000" w:type="dxa"/>
            <w:vAlign w:val="center"/>
          </w:tcPr>
          <w:p w14:paraId="4E018EC8" w14:textId="77777777" w:rsidR="0085030F" w:rsidRDefault="00000000">
            <w:pPr>
              <w:keepNext/>
              <w:spacing w:before="30" w:after="30"/>
              <w:jc w:val="center"/>
              <w:rPr>
                <w:rFonts w:ascii="Arial" w:hAnsi="Arial" w:cs="Arial"/>
              </w:rPr>
            </w:pPr>
            <w:r>
              <w:rPr>
                <w:rFonts w:ascii="Arial" w:hAnsi="Arial" w:cs="Arial"/>
                <w:sz w:val="24"/>
                <w:szCs w:val="24"/>
              </w:rPr>
              <w:t>3</w:t>
            </w:r>
          </w:p>
        </w:tc>
        <w:tc>
          <w:tcPr>
            <w:tcW w:w="8360" w:type="dxa"/>
            <w:vAlign w:val="center"/>
          </w:tcPr>
          <w:p w14:paraId="2CCF784E" w14:textId="77777777" w:rsidR="0085030F" w:rsidRDefault="00000000">
            <w:pPr>
              <w:keepNext/>
              <w:spacing w:before="30" w:after="30"/>
              <w:rPr>
                <w:rFonts w:ascii="Arial" w:hAnsi="Arial" w:cs="Arial"/>
              </w:rPr>
            </w:pPr>
            <w:r>
              <w:rPr>
                <w:rFonts w:ascii="Arial" w:hAnsi="Arial" w:cs="Arial"/>
                <w:sz w:val="24"/>
                <w:szCs w:val="24"/>
              </w:rPr>
              <w:t>Observaciones Finales 8o y 9o Informe N1739411</w:t>
            </w:r>
          </w:p>
        </w:tc>
      </w:tr>
      <w:tr w:rsidR="0085030F" w14:paraId="56A53A50" w14:textId="77777777">
        <w:trPr>
          <w:cantSplit/>
          <w:jc w:val="center"/>
        </w:trPr>
        <w:tc>
          <w:tcPr>
            <w:tcW w:w="1000" w:type="dxa"/>
            <w:vAlign w:val="center"/>
          </w:tcPr>
          <w:p w14:paraId="7A9DA284" w14:textId="77777777" w:rsidR="0085030F" w:rsidRDefault="00000000">
            <w:pPr>
              <w:keepNext/>
              <w:spacing w:before="30" w:after="30"/>
              <w:jc w:val="center"/>
              <w:rPr>
                <w:rFonts w:ascii="Arial" w:hAnsi="Arial" w:cs="Arial"/>
              </w:rPr>
            </w:pPr>
            <w:r>
              <w:rPr>
                <w:rFonts w:ascii="Arial" w:hAnsi="Arial" w:cs="Arial"/>
                <w:sz w:val="24"/>
                <w:szCs w:val="24"/>
              </w:rPr>
              <w:t>4</w:t>
            </w:r>
          </w:p>
        </w:tc>
        <w:tc>
          <w:tcPr>
            <w:tcW w:w="8360" w:type="dxa"/>
            <w:vAlign w:val="center"/>
          </w:tcPr>
          <w:p w14:paraId="0C7098DE" w14:textId="77777777" w:rsidR="0085030F" w:rsidRDefault="00000000">
            <w:pPr>
              <w:keepNext/>
              <w:spacing w:before="30" w:after="30"/>
              <w:rPr>
                <w:rFonts w:ascii="Arial" w:hAnsi="Arial" w:cs="Arial"/>
              </w:rPr>
            </w:pPr>
            <w:r>
              <w:rPr>
                <w:rFonts w:ascii="Arial" w:hAnsi="Arial" w:cs="Arial"/>
                <w:sz w:val="24"/>
                <w:szCs w:val="24"/>
              </w:rPr>
              <w:t>10o Informe Periódico CEDAW 2021</w:t>
            </w:r>
          </w:p>
        </w:tc>
      </w:tr>
      <w:tr w:rsidR="0085030F" w14:paraId="7FEAC7CC" w14:textId="77777777">
        <w:trPr>
          <w:cantSplit/>
          <w:jc w:val="center"/>
        </w:trPr>
        <w:tc>
          <w:tcPr>
            <w:tcW w:w="1000" w:type="dxa"/>
            <w:vAlign w:val="center"/>
          </w:tcPr>
          <w:p w14:paraId="1BBAFBB6" w14:textId="77777777" w:rsidR="0085030F" w:rsidRDefault="00000000">
            <w:pPr>
              <w:keepNext/>
              <w:spacing w:before="30" w:after="30"/>
              <w:jc w:val="center"/>
              <w:rPr>
                <w:rFonts w:ascii="Arial" w:hAnsi="Arial" w:cs="Arial"/>
              </w:rPr>
            </w:pPr>
            <w:r>
              <w:rPr>
                <w:rFonts w:ascii="Arial" w:hAnsi="Arial" w:cs="Arial"/>
                <w:sz w:val="24"/>
                <w:szCs w:val="24"/>
              </w:rPr>
              <w:t>5</w:t>
            </w:r>
          </w:p>
        </w:tc>
        <w:tc>
          <w:tcPr>
            <w:tcW w:w="8360" w:type="dxa"/>
            <w:vAlign w:val="center"/>
          </w:tcPr>
          <w:p w14:paraId="6F573720" w14:textId="77777777" w:rsidR="0085030F" w:rsidRDefault="00000000">
            <w:pPr>
              <w:keepNext/>
              <w:spacing w:before="30" w:after="30"/>
              <w:rPr>
                <w:rFonts w:ascii="Arial" w:hAnsi="Arial" w:cs="Arial"/>
              </w:rPr>
            </w:pPr>
            <w:r>
              <w:rPr>
                <w:rFonts w:ascii="Arial" w:hAnsi="Arial" w:cs="Arial"/>
                <w:sz w:val="24"/>
                <w:szCs w:val="24"/>
              </w:rPr>
              <w:t>Lista de cuestiones 10o Informe 2022</w:t>
            </w:r>
          </w:p>
        </w:tc>
      </w:tr>
      <w:tr w:rsidR="0085030F" w14:paraId="3CB7B053" w14:textId="77777777">
        <w:trPr>
          <w:cantSplit/>
          <w:jc w:val="center"/>
        </w:trPr>
        <w:tc>
          <w:tcPr>
            <w:tcW w:w="1000" w:type="dxa"/>
            <w:vAlign w:val="center"/>
          </w:tcPr>
          <w:p w14:paraId="6CFFE301" w14:textId="77777777" w:rsidR="0085030F" w:rsidRDefault="00000000">
            <w:pPr>
              <w:keepNext/>
              <w:spacing w:before="30" w:after="30"/>
              <w:jc w:val="center"/>
              <w:rPr>
                <w:rFonts w:ascii="Arial" w:hAnsi="Arial" w:cs="Arial"/>
              </w:rPr>
            </w:pPr>
            <w:r>
              <w:rPr>
                <w:rFonts w:ascii="Arial" w:hAnsi="Arial" w:cs="Arial"/>
                <w:sz w:val="24"/>
                <w:szCs w:val="24"/>
              </w:rPr>
              <w:t>6</w:t>
            </w:r>
          </w:p>
        </w:tc>
        <w:tc>
          <w:tcPr>
            <w:tcW w:w="8360" w:type="dxa"/>
            <w:vAlign w:val="center"/>
          </w:tcPr>
          <w:p w14:paraId="2FB48DFB" w14:textId="56C394CD" w:rsidR="0085030F" w:rsidRDefault="00000000">
            <w:pPr>
              <w:keepNext/>
              <w:spacing w:before="30" w:after="30"/>
              <w:rPr>
                <w:rFonts w:ascii="Arial" w:hAnsi="Arial" w:cs="Arial"/>
              </w:rPr>
            </w:pPr>
            <w:r>
              <w:rPr>
                <w:rFonts w:ascii="Arial" w:hAnsi="Arial" w:cs="Arial"/>
                <w:sz w:val="24"/>
                <w:szCs w:val="24"/>
              </w:rPr>
              <w:t>Anexo 10o Informe CEDAW INT</w:t>
            </w:r>
          </w:p>
        </w:tc>
      </w:tr>
      <w:tr w:rsidR="0085030F" w14:paraId="716B9C9A" w14:textId="77777777" w:rsidTr="0015483A">
        <w:trPr>
          <w:cantSplit/>
          <w:jc w:val="center"/>
        </w:trPr>
        <w:tc>
          <w:tcPr>
            <w:tcW w:w="1000" w:type="dxa"/>
            <w:tcBorders>
              <w:bottom w:val="nil"/>
            </w:tcBorders>
            <w:vAlign w:val="center"/>
          </w:tcPr>
          <w:p w14:paraId="6DF42755" w14:textId="77777777" w:rsidR="0085030F" w:rsidRDefault="00000000">
            <w:pPr>
              <w:keepNext/>
              <w:spacing w:before="30" w:after="30"/>
              <w:jc w:val="center"/>
              <w:rPr>
                <w:rFonts w:ascii="Arial" w:hAnsi="Arial" w:cs="Arial"/>
              </w:rPr>
            </w:pPr>
            <w:r>
              <w:rPr>
                <w:rFonts w:ascii="Arial" w:hAnsi="Arial" w:cs="Arial"/>
                <w:sz w:val="24"/>
                <w:szCs w:val="24"/>
              </w:rPr>
              <w:t>7</w:t>
            </w:r>
          </w:p>
        </w:tc>
        <w:tc>
          <w:tcPr>
            <w:tcW w:w="8360" w:type="dxa"/>
            <w:tcBorders>
              <w:bottom w:val="nil"/>
            </w:tcBorders>
            <w:vAlign w:val="center"/>
          </w:tcPr>
          <w:p w14:paraId="4A95D726" w14:textId="697B71DC" w:rsidR="0085030F" w:rsidRDefault="00000000">
            <w:pPr>
              <w:keepNext/>
              <w:spacing w:before="30" w:after="30"/>
              <w:rPr>
                <w:rFonts w:ascii="Arial" w:hAnsi="Arial" w:cs="Arial"/>
              </w:rPr>
            </w:pPr>
            <w:r>
              <w:rPr>
                <w:rFonts w:ascii="Arial" w:hAnsi="Arial" w:cs="Arial"/>
                <w:sz w:val="24"/>
                <w:szCs w:val="24"/>
              </w:rPr>
              <w:t>CEDAW</w:t>
            </w:r>
          </w:p>
        </w:tc>
      </w:tr>
      <w:tr w:rsidR="0085030F" w14:paraId="038569A8" w14:textId="77777777" w:rsidTr="0015483A">
        <w:trPr>
          <w:cantSplit/>
          <w:jc w:val="center"/>
        </w:trPr>
        <w:tc>
          <w:tcPr>
            <w:tcW w:w="1000" w:type="dxa"/>
            <w:tcBorders>
              <w:top w:val="nil"/>
              <w:left w:val="nil"/>
              <w:bottom w:val="nil"/>
              <w:right w:val="nil"/>
            </w:tcBorders>
            <w:vAlign w:val="center"/>
          </w:tcPr>
          <w:p w14:paraId="4863AAF1" w14:textId="77777777" w:rsidR="0085030F" w:rsidRDefault="00000000">
            <w:pPr>
              <w:keepNext/>
              <w:spacing w:before="30" w:after="30"/>
              <w:jc w:val="center"/>
              <w:rPr>
                <w:rFonts w:ascii="Arial" w:hAnsi="Arial" w:cs="Arial"/>
              </w:rPr>
            </w:pPr>
            <w:r>
              <w:rPr>
                <w:rFonts w:ascii="Arial" w:hAnsi="Arial" w:cs="Arial"/>
                <w:sz w:val="24"/>
                <w:szCs w:val="24"/>
              </w:rPr>
              <w:t>8</w:t>
            </w:r>
          </w:p>
        </w:tc>
        <w:tc>
          <w:tcPr>
            <w:tcW w:w="8360" w:type="dxa"/>
            <w:tcBorders>
              <w:top w:val="nil"/>
              <w:left w:val="nil"/>
              <w:bottom w:val="nil"/>
              <w:right w:val="nil"/>
            </w:tcBorders>
            <w:vAlign w:val="center"/>
          </w:tcPr>
          <w:p w14:paraId="32A1C814" w14:textId="401EA2FD" w:rsidR="0085030F" w:rsidRDefault="00000000">
            <w:pPr>
              <w:keepNext/>
              <w:spacing w:before="30" w:after="30"/>
              <w:rPr>
                <w:rFonts w:ascii="Arial" w:hAnsi="Arial" w:cs="Arial"/>
              </w:rPr>
            </w:pPr>
            <w:r>
              <w:rPr>
                <w:rFonts w:ascii="Arial" w:hAnsi="Arial" w:cs="Arial"/>
                <w:sz w:val="24"/>
                <w:szCs w:val="24"/>
              </w:rPr>
              <w:t>Observaciones Finales 10o Informe CEDAW</w:t>
            </w:r>
          </w:p>
        </w:tc>
      </w:tr>
      <w:tr w:rsidR="0085030F" w14:paraId="3005624C" w14:textId="77777777" w:rsidTr="0015483A">
        <w:trPr>
          <w:cantSplit/>
          <w:jc w:val="center"/>
        </w:trPr>
        <w:tc>
          <w:tcPr>
            <w:tcW w:w="9360" w:type="dxa"/>
            <w:gridSpan w:val="2"/>
            <w:tcBorders>
              <w:top w:val="nil"/>
              <w:left w:val="nil"/>
              <w:bottom w:val="nil"/>
              <w:right w:val="nil"/>
            </w:tcBorders>
            <w:vAlign w:val="center"/>
          </w:tcPr>
          <w:p w14:paraId="303302F6" w14:textId="77777777" w:rsidR="0085030F" w:rsidRDefault="00000000">
            <w:pPr>
              <w:keepNext/>
              <w:spacing w:before="100" w:after="40"/>
              <w:rPr>
                <w:rFonts w:ascii="Arial" w:hAnsi="Arial" w:cs="Arial"/>
              </w:rPr>
            </w:pPr>
            <w:r>
              <w:rPr>
                <w:rFonts w:ascii="Arial" w:hAnsi="Arial" w:cs="Arial"/>
                <w:b/>
                <w:bCs/>
                <w:sz w:val="24"/>
                <w:szCs w:val="24"/>
              </w:rPr>
              <w:t>Informes Belém do Pará (6)</w:t>
            </w:r>
          </w:p>
        </w:tc>
      </w:tr>
      <w:tr w:rsidR="0085030F" w14:paraId="41168149" w14:textId="77777777" w:rsidTr="0015483A">
        <w:trPr>
          <w:cantSplit/>
          <w:jc w:val="center"/>
        </w:trPr>
        <w:tc>
          <w:tcPr>
            <w:tcW w:w="1000" w:type="dxa"/>
            <w:tcBorders>
              <w:top w:val="nil"/>
            </w:tcBorders>
            <w:vAlign w:val="center"/>
          </w:tcPr>
          <w:p w14:paraId="5998C9A9" w14:textId="77777777" w:rsidR="0085030F" w:rsidRDefault="00000000">
            <w:pPr>
              <w:keepNext/>
              <w:spacing w:before="30" w:after="30"/>
              <w:jc w:val="center"/>
              <w:rPr>
                <w:rFonts w:ascii="Arial" w:hAnsi="Arial" w:cs="Arial"/>
              </w:rPr>
            </w:pPr>
            <w:r>
              <w:rPr>
                <w:rFonts w:ascii="Arial" w:hAnsi="Arial" w:cs="Arial"/>
                <w:sz w:val="24"/>
                <w:szCs w:val="24"/>
              </w:rPr>
              <w:t>9</w:t>
            </w:r>
          </w:p>
        </w:tc>
        <w:tc>
          <w:tcPr>
            <w:tcW w:w="8360" w:type="dxa"/>
            <w:tcBorders>
              <w:top w:val="nil"/>
            </w:tcBorders>
            <w:vAlign w:val="center"/>
          </w:tcPr>
          <w:p w14:paraId="557D403F" w14:textId="77777777" w:rsidR="0085030F" w:rsidRDefault="00000000">
            <w:pPr>
              <w:keepNext/>
              <w:spacing w:before="30" w:after="30"/>
              <w:rPr>
                <w:rFonts w:ascii="Arial" w:hAnsi="Arial" w:cs="Arial"/>
              </w:rPr>
            </w:pPr>
            <w:r>
              <w:rPr>
                <w:rFonts w:ascii="Arial" w:hAnsi="Arial" w:cs="Arial"/>
                <w:sz w:val="24"/>
                <w:szCs w:val="24"/>
              </w:rPr>
              <w:t>2008 RESPUESTA AL CUESTIONARIO Belém</w:t>
            </w:r>
          </w:p>
        </w:tc>
      </w:tr>
      <w:tr w:rsidR="0085030F" w14:paraId="27BDC7B0" w14:textId="77777777">
        <w:trPr>
          <w:cantSplit/>
          <w:jc w:val="center"/>
        </w:trPr>
        <w:tc>
          <w:tcPr>
            <w:tcW w:w="1000" w:type="dxa"/>
            <w:vAlign w:val="center"/>
          </w:tcPr>
          <w:p w14:paraId="176AA38A" w14:textId="77777777" w:rsidR="0085030F" w:rsidRDefault="00000000">
            <w:pPr>
              <w:keepNext/>
              <w:spacing w:before="30" w:after="30"/>
              <w:jc w:val="center"/>
              <w:rPr>
                <w:rFonts w:ascii="Arial" w:hAnsi="Arial" w:cs="Arial"/>
              </w:rPr>
            </w:pPr>
            <w:r>
              <w:rPr>
                <w:rFonts w:ascii="Arial" w:hAnsi="Arial" w:cs="Arial"/>
                <w:sz w:val="24"/>
                <w:szCs w:val="24"/>
              </w:rPr>
              <w:t>10</w:t>
            </w:r>
          </w:p>
        </w:tc>
        <w:tc>
          <w:tcPr>
            <w:tcW w:w="8360" w:type="dxa"/>
            <w:vAlign w:val="center"/>
          </w:tcPr>
          <w:p w14:paraId="7110ACB0" w14:textId="77777777" w:rsidR="0085030F" w:rsidRDefault="00000000">
            <w:pPr>
              <w:keepNext/>
              <w:spacing w:before="30" w:after="30"/>
              <w:rPr>
                <w:rFonts w:ascii="Arial" w:hAnsi="Arial" w:cs="Arial"/>
              </w:rPr>
            </w:pPr>
            <w:r>
              <w:rPr>
                <w:rFonts w:ascii="Arial" w:hAnsi="Arial" w:cs="Arial"/>
                <w:sz w:val="24"/>
                <w:szCs w:val="24"/>
              </w:rPr>
              <w:t>2012 INFORME DE PAÍS - Guatemala</w:t>
            </w:r>
          </w:p>
        </w:tc>
      </w:tr>
      <w:tr w:rsidR="0085030F" w14:paraId="6AB5F4BA" w14:textId="77777777">
        <w:trPr>
          <w:cantSplit/>
          <w:jc w:val="center"/>
        </w:trPr>
        <w:tc>
          <w:tcPr>
            <w:tcW w:w="1000" w:type="dxa"/>
            <w:vAlign w:val="center"/>
          </w:tcPr>
          <w:p w14:paraId="36A26635" w14:textId="77777777" w:rsidR="0085030F" w:rsidRDefault="00000000">
            <w:pPr>
              <w:keepNext/>
              <w:spacing w:before="30" w:after="30"/>
              <w:jc w:val="center"/>
              <w:rPr>
                <w:rFonts w:ascii="Arial" w:hAnsi="Arial" w:cs="Arial"/>
              </w:rPr>
            </w:pPr>
            <w:r>
              <w:rPr>
                <w:rFonts w:ascii="Arial" w:hAnsi="Arial" w:cs="Arial"/>
                <w:sz w:val="24"/>
                <w:szCs w:val="24"/>
              </w:rPr>
              <w:t>11</w:t>
            </w:r>
          </w:p>
        </w:tc>
        <w:tc>
          <w:tcPr>
            <w:tcW w:w="8360" w:type="dxa"/>
            <w:vAlign w:val="center"/>
          </w:tcPr>
          <w:p w14:paraId="0F37CCBC" w14:textId="77777777" w:rsidR="0085030F" w:rsidRDefault="00000000">
            <w:pPr>
              <w:keepNext/>
              <w:spacing w:before="30" w:after="30"/>
              <w:rPr>
                <w:rFonts w:ascii="Arial" w:hAnsi="Arial" w:cs="Arial"/>
              </w:rPr>
            </w:pPr>
            <w:r>
              <w:rPr>
                <w:rFonts w:ascii="Arial" w:hAnsi="Arial" w:cs="Arial"/>
                <w:sz w:val="24"/>
                <w:szCs w:val="24"/>
              </w:rPr>
              <w:t xml:space="preserve">2016 </w:t>
            </w:r>
            <w:proofErr w:type="gramStart"/>
            <w:r>
              <w:rPr>
                <w:rFonts w:ascii="Arial" w:hAnsi="Arial" w:cs="Arial"/>
                <w:sz w:val="24"/>
                <w:szCs w:val="24"/>
              </w:rPr>
              <w:t>Indicadores</w:t>
            </w:r>
            <w:proofErr w:type="gramEnd"/>
            <w:r>
              <w:rPr>
                <w:rFonts w:ascii="Arial" w:hAnsi="Arial" w:cs="Arial"/>
                <w:sz w:val="24"/>
                <w:szCs w:val="24"/>
              </w:rPr>
              <w:t xml:space="preserve"> de progreso Belem do Pará</w:t>
            </w:r>
          </w:p>
        </w:tc>
      </w:tr>
      <w:tr w:rsidR="0085030F" w14:paraId="2E9A6369" w14:textId="77777777">
        <w:trPr>
          <w:cantSplit/>
          <w:jc w:val="center"/>
        </w:trPr>
        <w:tc>
          <w:tcPr>
            <w:tcW w:w="1000" w:type="dxa"/>
            <w:vAlign w:val="center"/>
          </w:tcPr>
          <w:p w14:paraId="617A78C2" w14:textId="77777777" w:rsidR="0085030F" w:rsidRDefault="00000000">
            <w:pPr>
              <w:keepNext/>
              <w:spacing w:before="30" w:after="30"/>
              <w:jc w:val="center"/>
              <w:rPr>
                <w:rFonts w:ascii="Arial" w:hAnsi="Arial" w:cs="Arial"/>
              </w:rPr>
            </w:pPr>
            <w:r>
              <w:rPr>
                <w:rFonts w:ascii="Arial" w:hAnsi="Arial" w:cs="Arial"/>
                <w:sz w:val="24"/>
                <w:szCs w:val="24"/>
              </w:rPr>
              <w:t>12</w:t>
            </w:r>
          </w:p>
        </w:tc>
        <w:tc>
          <w:tcPr>
            <w:tcW w:w="8360" w:type="dxa"/>
            <w:vAlign w:val="center"/>
          </w:tcPr>
          <w:p w14:paraId="3277879D" w14:textId="77777777" w:rsidR="0085030F" w:rsidRDefault="00000000">
            <w:pPr>
              <w:keepNext/>
              <w:spacing w:before="30" w:after="30"/>
              <w:rPr>
                <w:rFonts w:ascii="Arial" w:hAnsi="Arial" w:cs="Arial"/>
              </w:rPr>
            </w:pPr>
            <w:r>
              <w:rPr>
                <w:rFonts w:ascii="Arial" w:hAnsi="Arial" w:cs="Arial"/>
                <w:sz w:val="24"/>
                <w:szCs w:val="24"/>
              </w:rPr>
              <w:t xml:space="preserve">2016 </w:t>
            </w:r>
            <w:proofErr w:type="gramStart"/>
            <w:r>
              <w:rPr>
                <w:rFonts w:ascii="Arial" w:hAnsi="Arial" w:cs="Arial"/>
                <w:sz w:val="24"/>
                <w:szCs w:val="24"/>
              </w:rPr>
              <w:t>Informe</w:t>
            </w:r>
            <w:proofErr w:type="gramEnd"/>
            <w:r>
              <w:rPr>
                <w:rFonts w:ascii="Arial" w:hAnsi="Arial" w:cs="Arial"/>
                <w:sz w:val="24"/>
                <w:szCs w:val="24"/>
              </w:rPr>
              <w:t xml:space="preserve"> Belém do Pará Tercer ronda</w:t>
            </w:r>
          </w:p>
        </w:tc>
      </w:tr>
      <w:tr w:rsidR="0085030F" w14:paraId="5868F010" w14:textId="77777777" w:rsidTr="009503E7">
        <w:trPr>
          <w:cantSplit/>
          <w:jc w:val="center"/>
        </w:trPr>
        <w:tc>
          <w:tcPr>
            <w:tcW w:w="1000" w:type="dxa"/>
            <w:tcBorders>
              <w:bottom w:val="nil"/>
            </w:tcBorders>
            <w:vAlign w:val="center"/>
          </w:tcPr>
          <w:p w14:paraId="73E470A8" w14:textId="77777777" w:rsidR="0085030F" w:rsidRDefault="00000000">
            <w:pPr>
              <w:keepNext/>
              <w:spacing w:before="30" w:after="30"/>
              <w:jc w:val="center"/>
              <w:rPr>
                <w:rFonts w:ascii="Arial" w:hAnsi="Arial" w:cs="Arial"/>
              </w:rPr>
            </w:pPr>
            <w:r>
              <w:rPr>
                <w:rFonts w:ascii="Arial" w:hAnsi="Arial" w:cs="Arial"/>
                <w:sz w:val="24"/>
                <w:szCs w:val="24"/>
              </w:rPr>
              <w:t>13</w:t>
            </w:r>
          </w:p>
        </w:tc>
        <w:tc>
          <w:tcPr>
            <w:tcW w:w="8360" w:type="dxa"/>
            <w:tcBorders>
              <w:bottom w:val="nil"/>
            </w:tcBorders>
            <w:vAlign w:val="center"/>
          </w:tcPr>
          <w:p w14:paraId="1DC2E21B" w14:textId="77777777" w:rsidR="0085030F" w:rsidRDefault="00000000">
            <w:pPr>
              <w:keepNext/>
              <w:spacing w:before="30" w:after="30"/>
              <w:rPr>
                <w:rFonts w:ascii="Arial" w:hAnsi="Arial" w:cs="Arial"/>
              </w:rPr>
            </w:pPr>
            <w:r>
              <w:rPr>
                <w:rFonts w:ascii="Arial" w:hAnsi="Arial" w:cs="Arial"/>
                <w:sz w:val="24"/>
                <w:szCs w:val="24"/>
              </w:rPr>
              <w:t xml:space="preserve">2019 </w:t>
            </w:r>
            <w:proofErr w:type="gramStart"/>
            <w:r>
              <w:rPr>
                <w:rFonts w:ascii="Arial" w:hAnsi="Arial" w:cs="Arial"/>
                <w:sz w:val="24"/>
                <w:szCs w:val="24"/>
              </w:rPr>
              <w:t>Tercer</w:t>
            </w:r>
            <w:proofErr w:type="gramEnd"/>
            <w:r>
              <w:rPr>
                <w:rFonts w:ascii="Arial" w:hAnsi="Arial" w:cs="Arial"/>
                <w:sz w:val="24"/>
                <w:szCs w:val="24"/>
              </w:rPr>
              <w:t xml:space="preserve"> informe Belém do Pará GUATEMALA</w:t>
            </w:r>
          </w:p>
        </w:tc>
      </w:tr>
      <w:tr w:rsidR="0085030F" w14:paraId="67C4BFAA" w14:textId="77777777" w:rsidTr="009503E7">
        <w:trPr>
          <w:cantSplit/>
          <w:jc w:val="center"/>
        </w:trPr>
        <w:tc>
          <w:tcPr>
            <w:tcW w:w="1000" w:type="dxa"/>
            <w:tcBorders>
              <w:top w:val="nil"/>
              <w:left w:val="nil"/>
              <w:bottom w:val="nil"/>
              <w:right w:val="nil"/>
            </w:tcBorders>
            <w:vAlign w:val="center"/>
          </w:tcPr>
          <w:p w14:paraId="4CCE6FE0" w14:textId="77777777" w:rsidR="0085030F" w:rsidRDefault="00000000">
            <w:pPr>
              <w:spacing w:before="30" w:after="30"/>
              <w:jc w:val="center"/>
              <w:rPr>
                <w:rFonts w:ascii="Arial" w:hAnsi="Arial" w:cs="Arial"/>
              </w:rPr>
            </w:pPr>
            <w:r>
              <w:rPr>
                <w:rFonts w:ascii="Arial" w:hAnsi="Arial" w:cs="Arial"/>
                <w:sz w:val="24"/>
                <w:szCs w:val="24"/>
              </w:rPr>
              <w:t>14</w:t>
            </w:r>
          </w:p>
        </w:tc>
        <w:tc>
          <w:tcPr>
            <w:tcW w:w="8360" w:type="dxa"/>
            <w:tcBorders>
              <w:top w:val="nil"/>
              <w:left w:val="nil"/>
              <w:bottom w:val="nil"/>
              <w:right w:val="nil"/>
            </w:tcBorders>
            <w:vAlign w:val="center"/>
          </w:tcPr>
          <w:p w14:paraId="26A6CAF4" w14:textId="77777777" w:rsidR="0085030F" w:rsidRDefault="00000000">
            <w:pPr>
              <w:spacing w:before="30" w:after="30"/>
              <w:rPr>
                <w:rFonts w:ascii="Arial" w:hAnsi="Arial" w:cs="Arial"/>
              </w:rPr>
            </w:pPr>
            <w:r>
              <w:rPr>
                <w:rFonts w:ascii="Arial" w:hAnsi="Arial" w:cs="Arial"/>
                <w:sz w:val="24"/>
                <w:szCs w:val="24"/>
              </w:rPr>
              <w:t xml:space="preserve">2022 </w:t>
            </w:r>
            <w:proofErr w:type="gramStart"/>
            <w:r>
              <w:rPr>
                <w:rFonts w:ascii="Arial" w:hAnsi="Arial" w:cs="Arial"/>
                <w:sz w:val="24"/>
                <w:szCs w:val="24"/>
              </w:rPr>
              <w:t>Respuesta</w:t>
            </w:r>
            <w:proofErr w:type="gramEnd"/>
            <w:r>
              <w:rPr>
                <w:rFonts w:ascii="Arial" w:hAnsi="Arial" w:cs="Arial"/>
                <w:sz w:val="24"/>
                <w:szCs w:val="24"/>
              </w:rPr>
              <w:t xml:space="preserve"> Indicadores IV Ronda Guatemala</w:t>
            </w:r>
          </w:p>
        </w:tc>
      </w:tr>
    </w:tbl>
    <w:p w14:paraId="680C2D24" w14:textId="77777777" w:rsidR="00DA212F" w:rsidRDefault="00DA212F" w:rsidP="00DA212F">
      <w:pPr>
        <w:spacing w:before="120" w:line="360" w:lineRule="auto"/>
        <w:jc w:val="both"/>
        <w:rPr>
          <w:rFonts w:ascii="Arial" w:hAnsi="Arial" w:cs="Arial"/>
          <w:sz w:val="24"/>
          <w:szCs w:val="24"/>
        </w:rPr>
      </w:pPr>
    </w:p>
    <w:p w14:paraId="362CBF55" w14:textId="77777777" w:rsidR="004905E1" w:rsidRDefault="00000000" w:rsidP="00DA212F">
      <w:pPr>
        <w:keepNext/>
        <w:spacing w:line="360" w:lineRule="auto"/>
        <w:jc w:val="both"/>
        <w:rPr>
          <w:rFonts w:ascii="Arial" w:hAnsi="Arial" w:cs="Arial"/>
        </w:rPr>
      </w:pPr>
      <w:r>
        <w:rPr>
          <w:rFonts w:ascii="Arial" w:hAnsi="Arial" w:cs="Arial"/>
          <w:b/>
          <w:bCs/>
          <w:sz w:val="24"/>
          <w:szCs w:val="24"/>
        </w:rPr>
        <w:t>Resultados del Monitoreo de Difusión Digital</w:t>
      </w:r>
    </w:p>
    <w:p w14:paraId="6DB4F705" w14:textId="77777777" w:rsidR="004905E1" w:rsidRDefault="00000000" w:rsidP="00DA212F">
      <w:pPr>
        <w:spacing w:line="360" w:lineRule="auto"/>
        <w:jc w:val="both"/>
        <w:rPr>
          <w:rFonts w:ascii="Arial" w:hAnsi="Arial" w:cs="Arial"/>
        </w:rPr>
      </w:pPr>
      <w:r>
        <w:rPr>
          <w:rFonts w:ascii="Arial" w:hAnsi="Arial" w:cs="Arial"/>
          <w:sz w:val="24"/>
          <w:szCs w:val="24"/>
        </w:rPr>
        <w:t>Para medir la difusión digital de los informes publicados, la Secretaría implementó una herramienta de analítica web respetuosa de la privacidad en el portal institucional, la cual permite registrar y monitorear las visualizaciones y el comportamiento de las personas usuarias que acceden al sitio oficial de la SEPREM, en el que se aloja la sección «Hitos».</w:t>
      </w:r>
    </w:p>
    <w:p w14:paraId="52755E2C" w14:textId="5D6863EB" w:rsidR="004905E1" w:rsidRDefault="00000000" w:rsidP="00DA212F">
      <w:pPr>
        <w:spacing w:line="360" w:lineRule="auto"/>
        <w:jc w:val="both"/>
        <w:rPr>
          <w:rFonts w:ascii="Arial" w:hAnsi="Arial" w:cs="Arial"/>
        </w:rPr>
      </w:pPr>
      <w:r>
        <w:rPr>
          <w:rFonts w:ascii="Arial" w:hAnsi="Arial" w:cs="Arial"/>
          <w:sz w:val="24"/>
          <w:szCs w:val="24"/>
        </w:rPr>
        <w:t xml:space="preserve">Durante el periodo monitoreado, la herramienta de analítica web registró los datos de difusión y acceso al portal institucional que se presentan en la Tabla </w:t>
      </w:r>
      <w:r w:rsidR="00D24090">
        <w:rPr>
          <w:rFonts w:ascii="Arial" w:hAnsi="Arial" w:cs="Arial"/>
          <w:sz w:val="24"/>
          <w:szCs w:val="24"/>
        </w:rPr>
        <w:t>1</w:t>
      </w:r>
      <w:r>
        <w:rPr>
          <w:rFonts w:ascii="Arial" w:hAnsi="Arial" w:cs="Arial"/>
          <w:sz w:val="24"/>
          <w:szCs w:val="24"/>
        </w:rPr>
        <w:t>.</w:t>
      </w:r>
    </w:p>
    <w:p w14:paraId="7BAA926D" w14:textId="1D1245A1" w:rsidR="004905E1" w:rsidRDefault="00000000" w:rsidP="004C64EF">
      <w:pPr>
        <w:keepNext/>
        <w:spacing w:before="240" w:line="360" w:lineRule="auto"/>
        <w:jc w:val="center"/>
        <w:rPr>
          <w:rFonts w:ascii="Arial" w:hAnsi="Arial" w:cs="Arial"/>
        </w:rPr>
      </w:pPr>
      <w:r>
        <w:rPr>
          <w:rFonts w:ascii="Arial" w:hAnsi="Arial" w:cs="Arial"/>
          <w:b/>
          <w:bCs/>
          <w:sz w:val="24"/>
          <w:szCs w:val="24"/>
        </w:rPr>
        <w:lastRenderedPageBreak/>
        <w:t xml:space="preserve">Tabla </w:t>
      </w:r>
      <w:r w:rsidR="005B435F">
        <w:rPr>
          <w:rFonts w:ascii="Arial" w:hAnsi="Arial" w:cs="Arial"/>
          <w:b/>
          <w:bCs/>
          <w:sz w:val="24"/>
          <w:szCs w:val="24"/>
        </w:rPr>
        <w:t>1</w:t>
      </w:r>
    </w:p>
    <w:p w14:paraId="59C054A2" w14:textId="77777777" w:rsidR="004905E1" w:rsidRPr="005B435F" w:rsidRDefault="00000000" w:rsidP="005B435F">
      <w:pPr>
        <w:keepNext/>
        <w:spacing w:line="360" w:lineRule="auto"/>
        <w:jc w:val="center"/>
        <w:rPr>
          <w:rFonts w:ascii="Arial" w:hAnsi="Arial" w:cs="Arial"/>
          <w:b/>
          <w:bCs/>
        </w:rPr>
      </w:pPr>
      <w:r w:rsidRPr="005B435F">
        <w:rPr>
          <w:rFonts w:ascii="Arial" w:hAnsi="Arial" w:cs="Arial"/>
          <w:b/>
          <w:bCs/>
          <w:sz w:val="24"/>
          <w:szCs w:val="24"/>
        </w:rPr>
        <w:t>Métricas de Difusión Digital del Portal Institucional de la SEPREM Durante el Periodo Monitoreado</w:t>
      </w:r>
    </w:p>
    <w:tbl>
      <w:tblPr>
        <w:tblW w:w="9360" w:type="dxa"/>
        <w:jc w:val="center"/>
        <w:tblBorders>
          <w:top w:val="nil"/>
          <w:left w:val="nil"/>
          <w:bottom w:val="nil"/>
          <w:right w:val="nil"/>
          <w:insideH w:val="nil"/>
          <w:insideV w:val="nil"/>
        </w:tblBorders>
        <w:tblLayout w:type="fixed"/>
        <w:tblCellMar>
          <w:left w:w="115" w:type="dxa"/>
          <w:right w:w="115" w:type="dxa"/>
        </w:tblCellMar>
        <w:tblLook w:val="04A0" w:firstRow="1" w:lastRow="0" w:firstColumn="1" w:lastColumn="0" w:noHBand="0" w:noVBand="1"/>
      </w:tblPr>
      <w:tblGrid>
        <w:gridCol w:w="2060"/>
        <w:gridCol w:w="1400"/>
        <w:gridCol w:w="3900"/>
        <w:gridCol w:w="2000"/>
      </w:tblGrid>
      <w:tr w:rsidR="0085030F" w14:paraId="4EE1EF78" w14:textId="77777777">
        <w:trPr>
          <w:cantSplit/>
          <w:tblHeader/>
          <w:jc w:val="center"/>
        </w:trPr>
        <w:tc>
          <w:tcPr>
            <w:tcW w:w="2060" w:type="dxa"/>
            <w:tcBorders>
              <w:top w:val="single" w:sz="12" w:space="0" w:color="000000"/>
              <w:bottom w:val="single" w:sz="6" w:space="0" w:color="000000"/>
            </w:tcBorders>
            <w:vAlign w:val="center"/>
          </w:tcPr>
          <w:p w14:paraId="427BC090" w14:textId="77777777" w:rsidR="0085030F" w:rsidRDefault="00000000">
            <w:pPr>
              <w:keepNext/>
              <w:spacing w:before="60" w:after="60"/>
              <w:jc w:val="center"/>
              <w:rPr>
                <w:rFonts w:ascii="Arial" w:hAnsi="Arial" w:cs="Arial"/>
              </w:rPr>
            </w:pPr>
            <w:r>
              <w:rPr>
                <w:rFonts w:ascii="Arial" w:hAnsi="Arial" w:cs="Arial"/>
                <w:b/>
                <w:bCs/>
                <w:sz w:val="24"/>
                <w:szCs w:val="24"/>
              </w:rPr>
              <w:t>Métrica</w:t>
            </w:r>
          </w:p>
        </w:tc>
        <w:tc>
          <w:tcPr>
            <w:tcW w:w="1400" w:type="dxa"/>
            <w:tcBorders>
              <w:top w:val="single" w:sz="12" w:space="0" w:color="000000"/>
              <w:bottom w:val="single" w:sz="6" w:space="0" w:color="000000"/>
            </w:tcBorders>
            <w:vAlign w:val="center"/>
          </w:tcPr>
          <w:p w14:paraId="20973BDE" w14:textId="77777777" w:rsidR="0085030F" w:rsidRDefault="00000000">
            <w:pPr>
              <w:keepNext/>
              <w:spacing w:before="60" w:after="60"/>
              <w:jc w:val="center"/>
              <w:rPr>
                <w:rFonts w:ascii="Arial" w:hAnsi="Arial" w:cs="Arial"/>
              </w:rPr>
            </w:pPr>
            <w:r>
              <w:rPr>
                <w:rFonts w:ascii="Arial" w:hAnsi="Arial" w:cs="Arial"/>
                <w:b/>
                <w:bCs/>
                <w:sz w:val="24"/>
                <w:szCs w:val="24"/>
              </w:rPr>
              <w:t>Resultado</w:t>
            </w:r>
          </w:p>
        </w:tc>
        <w:tc>
          <w:tcPr>
            <w:tcW w:w="3900" w:type="dxa"/>
            <w:tcBorders>
              <w:top w:val="single" w:sz="12" w:space="0" w:color="000000"/>
              <w:bottom w:val="single" w:sz="6" w:space="0" w:color="000000"/>
            </w:tcBorders>
            <w:vAlign w:val="center"/>
          </w:tcPr>
          <w:p w14:paraId="64E0682C" w14:textId="77777777" w:rsidR="0085030F" w:rsidRDefault="00000000">
            <w:pPr>
              <w:keepNext/>
              <w:spacing w:before="60" w:after="60"/>
              <w:jc w:val="center"/>
              <w:rPr>
                <w:rFonts w:ascii="Arial" w:hAnsi="Arial" w:cs="Arial"/>
              </w:rPr>
            </w:pPr>
            <w:r>
              <w:rPr>
                <w:rFonts w:ascii="Arial" w:hAnsi="Arial" w:cs="Arial"/>
                <w:b/>
                <w:bCs/>
                <w:sz w:val="24"/>
                <w:szCs w:val="24"/>
              </w:rPr>
              <w:t>Detalle</w:t>
            </w:r>
          </w:p>
        </w:tc>
        <w:tc>
          <w:tcPr>
            <w:tcW w:w="2000" w:type="dxa"/>
            <w:tcBorders>
              <w:top w:val="single" w:sz="12" w:space="0" w:color="000000"/>
              <w:bottom w:val="single" w:sz="6" w:space="0" w:color="000000"/>
            </w:tcBorders>
            <w:vAlign w:val="center"/>
          </w:tcPr>
          <w:p w14:paraId="1009467D" w14:textId="77777777" w:rsidR="0085030F" w:rsidRDefault="00000000">
            <w:pPr>
              <w:keepNext/>
              <w:spacing w:before="60" w:after="60"/>
              <w:jc w:val="center"/>
              <w:rPr>
                <w:rFonts w:ascii="Arial" w:hAnsi="Arial" w:cs="Arial"/>
              </w:rPr>
            </w:pPr>
            <w:r>
              <w:rPr>
                <w:rFonts w:ascii="Arial" w:hAnsi="Arial" w:cs="Arial"/>
                <w:b/>
                <w:bCs/>
                <w:sz w:val="24"/>
                <w:szCs w:val="24"/>
              </w:rPr>
              <w:t>Variación</w:t>
            </w:r>
          </w:p>
        </w:tc>
      </w:tr>
      <w:tr w:rsidR="0085030F" w14:paraId="2B06F7F5" w14:textId="77777777">
        <w:trPr>
          <w:cantSplit/>
          <w:jc w:val="center"/>
        </w:trPr>
        <w:tc>
          <w:tcPr>
            <w:tcW w:w="2060" w:type="dxa"/>
            <w:vAlign w:val="center"/>
          </w:tcPr>
          <w:p w14:paraId="4CACA210" w14:textId="77777777" w:rsidR="0085030F" w:rsidRDefault="00000000">
            <w:pPr>
              <w:keepNext/>
              <w:spacing w:before="90" w:after="90"/>
              <w:rPr>
                <w:rFonts w:ascii="Arial" w:hAnsi="Arial" w:cs="Arial"/>
              </w:rPr>
            </w:pPr>
            <w:r>
              <w:rPr>
                <w:rFonts w:ascii="Arial" w:hAnsi="Arial" w:cs="Arial"/>
                <w:sz w:val="24"/>
                <w:szCs w:val="24"/>
              </w:rPr>
              <w:t>Visitantes</w:t>
            </w:r>
          </w:p>
        </w:tc>
        <w:tc>
          <w:tcPr>
            <w:tcW w:w="1400" w:type="dxa"/>
            <w:vAlign w:val="center"/>
          </w:tcPr>
          <w:p w14:paraId="15D226FE" w14:textId="77777777" w:rsidR="0085030F" w:rsidRDefault="00000000">
            <w:pPr>
              <w:keepNext/>
              <w:spacing w:before="90" w:after="90"/>
              <w:jc w:val="center"/>
              <w:rPr>
                <w:rFonts w:ascii="Arial" w:hAnsi="Arial" w:cs="Arial"/>
              </w:rPr>
            </w:pPr>
            <w:r>
              <w:rPr>
                <w:rFonts w:ascii="Arial" w:hAnsi="Arial" w:cs="Arial"/>
                <w:sz w:val="24"/>
                <w:szCs w:val="24"/>
              </w:rPr>
              <w:t>2.7 K</w:t>
            </w:r>
          </w:p>
        </w:tc>
        <w:tc>
          <w:tcPr>
            <w:tcW w:w="3900" w:type="dxa"/>
            <w:vAlign w:val="center"/>
          </w:tcPr>
          <w:p w14:paraId="3A2E9652" w14:textId="77777777" w:rsidR="0085030F" w:rsidRDefault="00000000">
            <w:pPr>
              <w:keepNext/>
              <w:spacing w:before="90" w:after="90"/>
              <w:rPr>
                <w:rFonts w:ascii="Arial" w:hAnsi="Arial" w:cs="Arial"/>
              </w:rPr>
            </w:pPr>
            <w:r>
              <w:rPr>
                <w:rFonts w:ascii="Arial" w:hAnsi="Arial" w:cs="Arial"/>
                <w:sz w:val="24"/>
                <w:szCs w:val="24"/>
              </w:rPr>
              <w:t>95.1 % corresponde a nuevos visitantes</w:t>
            </w:r>
          </w:p>
        </w:tc>
        <w:tc>
          <w:tcPr>
            <w:tcW w:w="2000" w:type="dxa"/>
            <w:vAlign w:val="center"/>
          </w:tcPr>
          <w:p w14:paraId="28499C89" w14:textId="77777777" w:rsidR="0085030F" w:rsidRDefault="00000000">
            <w:pPr>
              <w:keepNext/>
              <w:spacing w:before="90" w:after="90"/>
              <w:jc w:val="center"/>
              <w:rPr>
                <w:rFonts w:ascii="Arial" w:hAnsi="Arial" w:cs="Arial"/>
              </w:rPr>
            </w:pPr>
            <w:r>
              <w:rPr>
                <w:rFonts w:ascii="Arial" w:hAnsi="Arial" w:cs="Arial"/>
                <w:sz w:val="24"/>
                <w:szCs w:val="24"/>
              </w:rPr>
              <w:t>+5.5 %</w:t>
            </w:r>
          </w:p>
        </w:tc>
      </w:tr>
      <w:tr w:rsidR="0085030F" w14:paraId="0178969E" w14:textId="77777777">
        <w:trPr>
          <w:cantSplit/>
          <w:jc w:val="center"/>
        </w:trPr>
        <w:tc>
          <w:tcPr>
            <w:tcW w:w="2060" w:type="dxa"/>
            <w:vAlign w:val="center"/>
          </w:tcPr>
          <w:p w14:paraId="456330B8" w14:textId="77777777" w:rsidR="0085030F" w:rsidRDefault="00000000">
            <w:pPr>
              <w:keepNext/>
              <w:spacing w:before="90" w:after="90"/>
              <w:rPr>
                <w:rFonts w:ascii="Arial" w:hAnsi="Arial" w:cs="Arial"/>
              </w:rPr>
            </w:pPr>
            <w:r>
              <w:rPr>
                <w:rFonts w:ascii="Arial" w:hAnsi="Arial" w:cs="Arial"/>
                <w:sz w:val="24"/>
                <w:szCs w:val="24"/>
              </w:rPr>
              <w:t>Sesiones</w:t>
            </w:r>
          </w:p>
        </w:tc>
        <w:tc>
          <w:tcPr>
            <w:tcW w:w="1400" w:type="dxa"/>
            <w:vAlign w:val="center"/>
          </w:tcPr>
          <w:p w14:paraId="0950DDF6" w14:textId="77777777" w:rsidR="0085030F" w:rsidRDefault="00000000">
            <w:pPr>
              <w:keepNext/>
              <w:spacing w:before="90" w:after="90"/>
              <w:jc w:val="center"/>
              <w:rPr>
                <w:rFonts w:ascii="Arial" w:hAnsi="Arial" w:cs="Arial"/>
              </w:rPr>
            </w:pPr>
            <w:r>
              <w:rPr>
                <w:rFonts w:ascii="Arial" w:hAnsi="Arial" w:cs="Arial"/>
                <w:sz w:val="24"/>
                <w:szCs w:val="24"/>
              </w:rPr>
              <w:t>4 K</w:t>
            </w:r>
          </w:p>
        </w:tc>
        <w:tc>
          <w:tcPr>
            <w:tcW w:w="3900" w:type="dxa"/>
            <w:vAlign w:val="center"/>
          </w:tcPr>
          <w:p w14:paraId="7E5FD50B" w14:textId="77777777" w:rsidR="0085030F" w:rsidRDefault="00000000">
            <w:pPr>
              <w:keepNext/>
              <w:spacing w:before="90" w:after="90"/>
              <w:rPr>
                <w:rFonts w:ascii="Arial" w:hAnsi="Arial" w:cs="Arial"/>
              </w:rPr>
            </w:pPr>
            <w:r>
              <w:rPr>
                <w:rFonts w:ascii="Arial" w:hAnsi="Arial" w:cs="Arial"/>
                <w:sz w:val="24"/>
                <w:szCs w:val="24"/>
              </w:rPr>
              <w:t>Duración promedio de 00:01:14 por sesión</w:t>
            </w:r>
          </w:p>
        </w:tc>
        <w:tc>
          <w:tcPr>
            <w:tcW w:w="2000" w:type="dxa"/>
            <w:vAlign w:val="center"/>
          </w:tcPr>
          <w:p w14:paraId="3D7D0D6B" w14:textId="77777777" w:rsidR="0085030F" w:rsidRDefault="00000000">
            <w:pPr>
              <w:keepNext/>
              <w:spacing w:before="90" w:after="90"/>
              <w:jc w:val="center"/>
              <w:rPr>
                <w:rFonts w:ascii="Arial" w:hAnsi="Arial" w:cs="Arial"/>
              </w:rPr>
            </w:pPr>
            <w:r>
              <w:rPr>
                <w:rFonts w:ascii="Arial" w:hAnsi="Arial" w:cs="Arial"/>
                <w:sz w:val="24"/>
                <w:szCs w:val="24"/>
              </w:rPr>
              <w:t>+17 %</w:t>
            </w:r>
          </w:p>
        </w:tc>
      </w:tr>
      <w:tr w:rsidR="0085030F" w14:paraId="3C21ED03" w14:textId="77777777">
        <w:trPr>
          <w:cantSplit/>
          <w:jc w:val="center"/>
        </w:trPr>
        <w:tc>
          <w:tcPr>
            <w:tcW w:w="2060" w:type="dxa"/>
            <w:vAlign w:val="center"/>
          </w:tcPr>
          <w:p w14:paraId="0A36EF96" w14:textId="77777777" w:rsidR="0085030F" w:rsidRDefault="00000000">
            <w:pPr>
              <w:keepNext/>
              <w:spacing w:before="90" w:after="90"/>
              <w:rPr>
                <w:rFonts w:ascii="Arial" w:hAnsi="Arial" w:cs="Arial"/>
              </w:rPr>
            </w:pPr>
            <w:r>
              <w:rPr>
                <w:rFonts w:ascii="Arial" w:hAnsi="Arial" w:cs="Arial"/>
                <w:sz w:val="24"/>
                <w:szCs w:val="24"/>
              </w:rPr>
              <w:t>Páginas visitadas</w:t>
            </w:r>
          </w:p>
        </w:tc>
        <w:tc>
          <w:tcPr>
            <w:tcW w:w="1400" w:type="dxa"/>
            <w:vAlign w:val="center"/>
          </w:tcPr>
          <w:p w14:paraId="78920C35" w14:textId="77777777" w:rsidR="0085030F" w:rsidRDefault="00000000">
            <w:pPr>
              <w:keepNext/>
              <w:spacing w:before="90" w:after="90"/>
              <w:jc w:val="center"/>
              <w:rPr>
                <w:rFonts w:ascii="Arial" w:hAnsi="Arial" w:cs="Arial"/>
              </w:rPr>
            </w:pPr>
            <w:r>
              <w:rPr>
                <w:rFonts w:ascii="Arial" w:hAnsi="Arial" w:cs="Arial"/>
                <w:sz w:val="24"/>
                <w:szCs w:val="24"/>
              </w:rPr>
              <w:t>11.1 K</w:t>
            </w:r>
          </w:p>
        </w:tc>
        <w:tc>
          <w:tcPr>
            <w:tcW w:w="3900" w:type="dxa"/>
            <w:vAlign w:val="center"/>
          </w:tcPr>
          <w:p w14:paraId="15EB33DF" w14:textId="77777777" w:rsidR="0085030F" w:rsidRDefault="00000000">
            <w:pPr>
              <w:keepNext/>
              <w:spacing w:before="90" w:after="90"/>
              <w:rPr>
                <w:rFonts w:ascii="Arial" w:hAnsi="Arial" w:cs="Arial"/>
              </w:rPr>
            </w:pPr>
            <w:r>
              <w:rPr>
                <w:rFonts w:ascii="Arial" w:hAnsi="Arial" w:cs="Arial"/>
                <w:sz w:val="24"/>
                <w:szCs w:val="24"/>
              </w:rPr>
              <w:t>Promedio de 2.8 páginas vistas por sesión</w:t>
            </w:r>
          </w:p>
        </w:tc>
        <w:tc>
          <w:tcPr>
            <w:tcW w:w="2000" w:type="dxa"/>
            <w:vAlign w:val="center"/>
          </w:tcPr>
          <w:p w14:paraId="7B31AF60" w14:textId="77777777" w:rsidR="0085030F" w:rsidRDefault="00000000">
            <w:pPr>
              <w:keepNext/>
              <w:spacing w:before="90" w:after="90"/>
              <w:jc w:val="center"/>
              <w:rPr>
                <w:rFonts w:ascii="Arial" w:hAnsi="Arial" w:cs="Arial"/>
              </w:rPr>
            </w:pPr>
            <w:r>
              <w:rPr>
                <w:rFonts w:ascii="Arial" w:hAnsi="Arial" w:cs="Arial"/>
                <w:sz w:val="24"/>
                <w:szCs w:val="24"/>
              </w:rPr>
              <w:t>+20.4 %</w:t>
            </w:r>
          </w:p>
        </w:tc>
      </w:tr>
      <w:tr w:rsidR="0085030F" w14:paraId="0097383C" w14:textId="77777777">
        <w:trPr>
          <w:cantSplit/>
          <w:jc w:val="center"/>
        </w:trPr>
        <w:tc>
          <w:tcPr>
            <w:tcW w:w="2060" w:type="dxa"/>
            <w:tcBorders>
              <w:bottom w:val="single" w:sz="12" w:space="0" w:color="000000"/>
            </w:tcBorders>
            <w:vAlign w:val="center"/>
          </w:tcPr>
          <w:p w14:paraId="7C8E5EBB" w14:textId="77777777" w:rsidR="0085030F" w:rsidRDefault="00000000">
            <w:pPr>
              <w:spacing w:before="90" w:after="90"/>
              <w:rPr>
                <w:rFonts w:ascii="Arial" w:hAnsi="Arial" w:cs="Arial"/>
              </w:rPr>
            </w:pPr>
            <w:r>
              <w:rPr>
                <w:rFonts w:ascii="Arial" w:hAnsi="Arial" w:cs="Arial"/>
                <w:sz w:val="24"/>
                <w:szCs w:val="24"/>
              </w:rPr>
              <w:t>Tasa de rebote</w:t>
            </w:r>
          </w:p>
        </w:tc>
        <w:tc>
          <w:tcPr>
            <w:tcW w:w="1400" w:type="dxa"/>
            <w:tcBorders>
              <w:bottom w:val="single" w:sz="12" w:space="0" w:color="000000"/>
            </w:tcBorders>
            <w:vAlign w:val="center"/>
          </w:tcPr>
          <w:p w14:paraId="7CD5398B" w14:textId="77777777" w:rsidR="0085030F" w:rsidRDefault="00000000">
            <w:pPr>
              <w:spacing w:before="90" w:after="90"/>
              <w:jc w:val="center"/>
              <w:rPr>
                <w:rFonts w:ascii="Arial" w:hAnsi="Arial" w:cs="Arial"/>
              </w:rPr>
            </w:pPr>
            <w:r>
              <w:rPr>
                <w:rFonts w:ascii="Arial" w:hAnsi="Arial" w:cs="Arial"/>
                <w:sz w:val="24"/>
                <w:szCs w:val="24"/>
              </w:rPr>
              <w:t>40.7 %</w:t>
            </w:r>
          </w:p>
        </w:tc>
        <w:tc>
          <w:tcPr>
            <w:tcW w:w="3900" w:type="dxa"/>
            <w:tcBorders>
              <w:bottom w:val="single" w:sz="12" w:space="0" w:color="000000"/>
            </w:tcBorders>
            <w:vAlign w:val="center"/>
          </w:tcPr>
          <w:p w14:paraId="1B0D9564" w14:textId="77777777" w:rsidR="0085030F" w:rsidRDefault="00000000">
            <w:pPr>
              <w:spacing w:before="90" w:after="90"/>
              <w:rPr>
                <w:rFonts w:ascii="Arial" w:hAnsi="Arial" w:cs="Arial"/>
              </w:rPr>
            </w:pPr>
            <w:r>
              <w:rPr>
                <w:rFonts w:ascii="Arial" w:hAnsi="Arial" w:cs="Arial"/>
                <w:sz w:val="24"/>
                <w:szCs w:val="24"/>
              </w:rPr>
              <w:t>Visitas que abandonaron el sitio sin consultar otra página</w:t>
            </w:r>
          </w:p>
        </w:tc>
        <w:tc>
          <w:tcPr>
            <w:tcW w:w="2000" w:type="dxa"/>
            <w:tcBorders>
              <w:bottom w:val="single" w:sz="12" w:space="0" w:color="000000"/>
            </w:tcBorders>
            <w:vAlign w:val="center"/>
          </w:tcPr>
          <w:p w14:paraId="7328D599" w14:textId="77777777" w:rsidR="0085030F" w:rsidRDefault="00000000">
            <w:pPr>
              <w:spacing w:before="90" w:after="90"/>
              <w:jc w:val="center"/>
              <w:rPr>
                <w:rFonts w:ascii="Arial" w:hAnsi="Arial" w:cs="Arial"/>
              </w:rPr>
            </w:pPr>
            <w:r>
              <w:rPr>
                <w:rFonts w:ascii="Arial" w:hAnsi="Arial" w:cs="Arial"/>
                <w:sz w:val="24"/>
                <w:szCs w:val="24"/>
              </w:rPr>
              <w:t>+17.2 %</w:t>
            </w:r>
          </w:p>
        </w:tc>
      </w:tr>
    </w:tbl>
    <w:p w14:paraId="44550DC5" w14:textId="0C0FEF15" w:rsidR="004905E1" w:rsidRDefault="00000000" w:rsidP="00DA212F">
      <w:pPr>
        <w:spacing w:before="120" w:line="360" w:lineRule="auto"/>
        <w:jc w:val="both"/>
        <w:rPr>
          <w:rFonts w:ascii="Arial" w:hAnsi="Arial" w:cs="Arial"/>
        </w:rPr>
      </w:pPr>
      <w:r>
        <w:rPr>
          <w:rFonts w:ascii="Arial" w:hAnsi="Arial" w:cs="Arial"/>
          <w:sz w:val="24"/>
          <w:szCs w:val="24"/>
        </w:rPr>
        <w:t>Datos obtenidos de la herramienta de analítica web del portal institucional de la SEPREM, periodo del 31 de julio al 30 de septiembre de 2026. La abreviatura K equivale a miles. La variación se calcula en comparación con los 62 días anteriores al periodo monitoreado.</w:t>
      </w:r>
    </w:p>
    <w:p w14:paraId="0DFE0C59" w14:textId="77777777" w:rsidR="004905E1" w:rsidRDefault="00000000" w:rsidP="00DA212F">
      <w:pPr>
        <w:spacing w:line="360" w:lineRule="auto"/>
        <w:jc w:val="both"/>
        <w:rPr>
          <w:rFonts w:ascii="Arial" w:hAnsi="Arial" w:cs="Arial"/>
        </w:rPr>
      </w:pPr>
      <w:r>
        <w:rPr>
          <w:rFonts w:ascii="Arial" w:hAnsi="Arial" w:cs="Arial"/>
          <w:sz w:val="24"/>
          <w:szCs w:val="24"/>
        </w:rPr>
        <w:t>Los resultados muestran que el portal institucional recibió aproximadamente 2,700 visitantes, de los cuales el 95.1 % corresponde a nuevos visitantes, con cerca de 4,000 sesiones y 11,100 páginas visitadas. En comparación con los 62 días anteriores, las páginas visitadas aumentaron 20.4 %, las sesiones 17 % y los visitantes 5.5 %, mientras que la tasa de rebote registró una variación de +17.2 %.</w:t>
      </w:r>
    </w:p>
    <w:p w14:paraId="662C5FBD" w14:textId="00F474B7" w:rsidR="004905E1" w:rsidRDefault="00000000" w:rsidP="00F831F7">
      <w:pPr>
        <w:spacing w:line="360" w:lineRule="auto"/>
        <w:jc w:val="both"/>
        <w:rPr>
          <w:rFonts w:ascii="Arial" w:hAnsi="Arial" w:cs="Arial"/>
        </w:rPr>
      </w:pPr>
      <w:r>
        <w:rPr>
          <w:rFonts w:ascii="Arial" w:hAnsi="Arial" w:cs="Arial"/>
          <w:sz w:val="24"/>
          <w:szCs w:val="24"/>
        </w:rPr>
        <w:t>En el comportamiento semanal el número de visitantes se mantuvo de forma constante, entre aproximadamente 300 y 430 por semana a partir de la semana 32, y las páginas visitadas alcanzaron su punto más alto en la semana 37, con alrededor de 2,100 páginas.</w:t>
      </w:r>
    </w:p>
    <w:p w14:paraId="4F61B259" w14:textId="77777777" w:rsidR="004905E1" w:rsidRDefault="00000000" w:rsidP="00F831F7">
      <w:pPr>
        <w:spacing w:line="360" w:lineRule="auto"/>
        <w:jc w:val="both"/>
        <w:rPr>
          <w:rFonts w:ascii="Arial" w:hAnsi="Arial" w:cs="Arial"/>
          <w:sz w:val="24"/>
          <w:szCs w:val="24"/>
        </w:rPr>
      </w:pPr>
      <w:r>
        <w:rPr>
          <w:rFonts w:ascii="Arial" w:hAnsi="Arial" w:cs="Arial"/>
          <w:sz w:val="24"/>
          <w:szCs w:val="24"/>
        </w:rPr>
        <w:t>Respecto al tipo de dispositivo, el 90.7 % de los accesos se realizó desde computadora, el 9.2 % desde teléfonos móviles y el 0.1 % desde otros dispositivos; no se registraron accesos desde tabletas.</w:t>
      </w:r>
    </w:p>
    <w:p w14:paraId="709ED268" w14:textId="77777777" w:rsidR="0013310D" w:rsidRDefault="0013310D" w:rsidP="00F831F7">
      <w:pPr>
        <w:spacing w:line="360" w:lineRule="auto"/>
        <w:jc w:val="both"/>
        <w:rPr>
          <w:rFonts w:ascii="Arial" w:hAnsi="Arial" w:cs="Arial"/>
          <w:sz w:val="24"/>
          <w:szCs w:val="24"/>
        </w:rPr>
      </w:pPr>
    </w:p>
    <w:p w14:paraId="09CF4D94" w14:textId="77777777" w:rsidR="0013310D" w:rsidRDefault="0013310D" w:rsidP="00F831F7">
      <w:pPr>
        <w:spacing w:line="360" w:lineRule="auto"/>
        <w:jc w:val="both"/>
        <w:rPr>
          <w:rFonts w:ascii="Arial" w:hAnsi="Arial" w:cs="Arial"/>
        </w:rPr>
      </w:pPr>
    </w:p>
    <w:p w14:paraId="7203CE41" w14:textId="77777777" w:rsidR="004905E1" w:rsidRDefault="00000000" w:rsidP="00F831F7">
      <w:pPr>
        <w:spacing w:line="360" w:lineRule="auto"/>
        <w:jc w:val="both"/>
        <w:rPr>
          <w:rFonts w:ascii="Arial" w:hAnsi="Arial" w:cs="Arial"/>
          <w:sz w:val="24"/>
          <w:szCs w:val="24"/>
        </w:rPr>
      </w:pPr>
      <w:r>
        <w:rPr>
          <w:rFonts w:ascii="Arial" w:hAnsi="Arial" w:cs="Arial"/>
          <w:sz w:val="24"/>
          <w:szCs w:val="24"/>
        </w:rPr>
        <w:lastRenderedPageBreak/>
        <w:t>Estos datos evidencian un flujo sostenido de personas usuarias en el portal institucional, en el cual la sección «Hitos» se mantiene disponible y accesible al público, cumpliendo con el objetivo de difusión digital y de fortalecimiento de la transparencia y el acceso a la información en materia de Derechos Humanos de las Mujeres.</w:t>
      </w:r>
    </w:p>
    <w:p w14:paraId="3C4A1117" w14:textId="77777777" w:rsidR="005B435F" w:rsidRDefault="005B435F" w:rsidP="00F831F7">
      <w:pPr>
        <w:spacing w:line="360" w:lineRule="auto"/>
        <w:jc w:val="both"/>
        <w:rPr>
          <w:rFonts w:ascii="Arial" w:hAnsi="Arial" w:cs="Arial"/>
        </w:rPr>
      </w:pPr>
    </w:p>
    <w:p w14:paraId="170C9039" w14:textId="77777777" w:rsidR="004905E1" w:rsidRDefault="00000000" w:rsidP="00DA212F">
      <w:pPr>
        <w:keepNext/>
        <w:spacing w:line="360" w:lineRule="auto"/>
        <w:jc w:val="both"/>
        <w:rPr>
          <w:rFonts w:ascii="Arial" w:hAnsi="Arial" w:cs="Arial"/>
          <w:b/>
          <w:bCs/>
          <w:sz w:val="24"/>
          <w:szCs w:val="24"/>
        </w:rPr>
      </w:pPr>
      <w:r>
        <w:rPr>
          <w:rFonts w:ascii="Arial" w:hAnsi="Arial" w:cs="Arial"/>
          <w:b/>
          <w:bCs/>
          <w:sz w:val="24"/>
          <w:szCs w:val="24"/>
        </w:rPr>
        <w:t>Medios de Verificación</w:t>
      </w:r>
    </w:p>
    <w:p w14:paraId="5939D1DF" w14:textId="77777777" w:rsidR="0013310D" w:rsidRDefault="0013310D" w:rsidP="00DA212F">
      <w:pPr>
        <w:keepNext/>
        <w:spacing w:line="360" w:lineRule="auto"/>
        <w:jc w:val="both"/>
        <w:rPr>
          <w:rFonts w:ascii="Arial" w:hAnsi="Arial" w:cs="Arial"/>
        </w:rPr>
      </w:pPr>
    </w:p>
    <w:p w14:paraId="580590E1" w14:textId="08726B17" w:rsidR="004905E1" w:rsidRDefault="00000000" w:rsidP="00DA212F">
      <w:pPr>
        <w:spacing w:line="360" w:lineRule="auto"/>
        <w:ind w:firstLine="720"/>
        <w:jc w:val="both"/>
        <w:rPr>
          <w:rFonts w:ascii="Arial" w:hAnsi="Arial" w:cs="Arial"/>
          <w:sz w:val="24"/>
          <w:szCs w:val="24"/>
        </w:rPr>
      </w:pPr>
      <w:r>
        <w:rPr>
          <w:rFonts w:ascii="Arial" w:hAnsi="Arial" w:cs="Arial"/>
          <w:b/>
          <w:bCs/>
          <w:sz w:val="24"/>
          <w:szCs w:val="24"/>
        </w:rPr>
        <w:t xml:space="preserve">Medio de verificación 1. </w:t>
      </w:r>
      <w:r>
        <w:rPr>
          <w:rFonts w:ascii="Arial" w:hAnsi="Arial" w:cs="Arial"/>
          <w:sz w:val="24"/>
          <w:szCs w:val="24"/>
        </w:rPr>
        <w:t xml:space="preserve">Enlace </w:t>
      </w:r>
      <w:hyperlink r:id="rId7" w:history="1">
        <w:r w:rsidR="004905E1">
          <w:rPr>
            <w:rStyle w:val="Hipervnculo"/>
            <w:rFonts w:ascii="Arial" w:hAnsi="Arial" w:cs="Arial"/>
            <w:sz w:val="24"/>
            <w:szCs w:val="24"/>
          </w:rPr>
          <w:t>https://seprem.gob.gt/hitos/</w:t>
        </w:r>
      </w:hyperlink>
      <w:r>
        <w:rPr>
          <w:rFonts w:ascii="Arial" w:hAnsi="Arial" w:cs="Arial"/>
          <w:sz w:val="24"/>
          <w:szCs w:val="24"/>
        </w:rPr>
        <w:t>, donde se encuentran publicados y disponibles al público los informes sobre el cumplimiento de los convenios internacionales en materia de Derechos Humanos de las Mujeres</w:t>
      </w:r>
      <w:r w:rsidR="0013310D">
        <w:rPr>
          <w:rFonts w:ascii="Arial" w:hAnsi="Arial" w:cs="Arial"/>
          <w:sz w:val="24"/>
          <w:szCs w:val="24"/>
        </w:rPr>
        <w:t>.</w:t>
      </w:r>
    </w:p>
    <w:p w14:paraId="47CA151E" w14:textId="77777777" w:rsidR="0013310D" w:rsidRDefault="0013310D" w:rsidP="00DA212F">
      <w:pPr>
        <w:spacing w:line="360" w:lineRule="auto"/>
        <w:ind w:firstLine="720"/>
        <w:jc w:val="both"/>
        <w:rPr>
          <w:rFonts w:ascii="Arial" w:hAnsi="Arial" w:cs="Arial"/>
        </w:rPr>
      </w:pPr>
    </w:p>
    <w:p w14:paraId="6893EE17" w14:textId="526445A6" w:rsidR="004905E1" w:rsidRDefault="00000000" w:rsidP="00DA212F">
      <w:pPr>
        <w:spacing w:line="360" w:lineRule="auto"/>
        <w:ind w:firstLine="720"/>
        <w:jc w:val="both"/>
        <w:rPr>
          <w:rFonts w:ascii="Arial" w:hAnsi="Arial" w:cs="Arial"/>
          <w:sz w:val="24"/>
          <w:szCs w:val="24"/>
        </w:rPr>
      </w:pPr>
      <w:r>
        <w:rPr>
          <w:rFonts w:ascii="Arial" w:hAnsi="Arial" w:cs="Arial"/>
          <w:b/>
          <w:bCs/>
          <w:sz w:val="24"/>
          <w:szCs w:val="24"/>
        </w:rPr>
        <w:t xml:space="preserve">Medio de verificación 2. </w:t>
      </w:r>
      <w:r>
        <w:rPr>
          <w:rFonts w:ascii="Arial" w:hAnsi="Arial" w:cs="Arial"/>
          <w:sz w:val="24"/>
          <w:szCs w:val="24"/>
        </w:rPr>
        <w:t>Reporte de estadísticas de la herramienta de analítica web del portal institucional, correspondiente al periodo monitoreado, en el que se visualizan las métricas de acceso y difusión digital (visitantes, sesiones, páginas visitadas, tasa de rebote y dispositivos de acceso) del sitio oficial de la SEPREM, donde se aloja la sección «Hitos»</w:t>
      </w:r>
      <w:r w:rsidR="005B435F">
        <w:rPr>
          <w:rFonts w:ascii="Arial" w:hAnsi="Arial" w:cs="Arial"/>
          <w:sz w:val="24"/>
          <w:szCs w:val="24"/>
        </w:rPr>
        <w:t>.</w:t>
      </w:r>
    </w:p>
    <w:p w14:paraId="3C75678F" w14:textId="77777777" w:rsidR="0013310D" w:rsidRDefault="0013310D" w:rsidP="00DA212F">
      <w:pPr>
        <w:spacing w:line="360" w:lineRule="auto"/>
        <w:ind w:firstLine="720"/>
        <w:jc w:val="both"/>
        <w:rPr>
          <w:rFonts w:ascii="Arial" w:hAnsi="Arial" w:cs="Arial"/>
        </w:rPr>
      </w:pPr>
    </w:p>
    <w:p w14:paraId="0E21C6D8" w14:textId="0A424DFE" w:rsidR="004905E1" w:rsidRDefault="00000000" w:rsidP="00DA212F">
      <w:pPr>
        <w:spacing w:line="360" w:lineRule="auto"/>
        <w:ind w:firstLine="720"/>
        <w:jc w:val="both"/>
        <w:rPr>
          <w:rFonts w:ascii="Arial" w:hAnsi="Arial" w:cs="Arial"/>
        </w:rPr>
      </w:pPr>
      <w:r>
        <w:rPr>
          <w:rFonts w:ascii="Arial" w:hAnsi="Arial" w:cs="Arial"/>
          <w:b/>
          <w:bCs/>
          <w:sz w:val="24"/>
          <w:szCs w:val="24"/>
        </w:rPr>
        <w:t xml:space="preserve">Medio de verificación 3. </w:t>
      </w:r>
      <w:r>
        <w:rPr>
          <w:rFonts w:ascii="Arial" w:hAnsi="Arial" w:cs="Arial"/>
          <w:sz w:val="24"/>
          <w:szCs w:val="24"/>
        </w:rPr>
        <w:t>capturas de pantalla de la plataforma institucional, correspondientes al panel de estadísticas de difusión digital y a la sección «Hitos», en las que se visualizan las métricas registradas y los informes publicados y disponibles para su consulta y descarga.</w:t>
      </w:r>
    </w:p>
    <w:p w14:paraId="6D10955A" w14:textId="3312560C" w:rsidR="004905E1" w:rsidRDefault="00000000" w:rsidP="005B435F">
      <w:pPr>
        <w:spacing w:line="360" w:lineRule="auto"/>
        <w:jc w:val="both"/>
        <w:rPr>
          <w:rFonts w:ascii="Arial" w:hAnsi="Arial" w:cs="Arial"/>
        </w:rPr>
      </w:pPr>
      <w:r>
        <w:rPr>
          <w:rFonts w:ascii="Arial" w:hAnsi="Arial" w:cs="Arial"/>
          <w:sz w:val="24"/>
          <w:szCs w:val="24"/>
        </w:rPr>
        <w:t>La disponibilidad y el funcionamiento del enlace público, la correcta visualización y descarga de los informes publicados, así como el registro de las métricas de difusión digital, fueron verificados por la Secretaría Presidencial de la Mujer el 30 de septiembre de 2026.</w:t>
      </w:r>
    </w:p>
    <w:p w14:paraId="303E8326" w14:textId="77777777" w:rsidR="004905E1" w:rsidRPr="005B435F" w:rsidRDefault="00000000" w:rsidP="00DA212F">
      <w:pPr>
        <w:keepNext/>
        <w:spacing w:line="360" w:lineRule="auto"/>
        <w:rPr>
          <w:rFonts w:ascii="Arial" w:hAnsi="Arial" w:cs="Arial"/>
          <w:b/>
          <w:bCs/>
        </w:rPr>
      </w:pPr>
      <w:r w:rsidRPr="005B435F">
        <w:rPr>
          <w:rFonts w:ascii="Arial" w:hAnsi="Arial" w:cs="Arial"/>
          <w:b/>
          <w:bCs/>
          <w:sz w:val="24"/>
          <w:szCs w:val="24"/>
        </w:rPr>
        <w:lastRenderedPageBreak/>
        <w:t>Panel de Estadísticas de Difusión Digital del Portal Institucional de la SEPREM</w:t>
      </w:r>
    </w:p>
    <w:p w14:paraId="693A208B" w14:textId="77777777" w:rsidR="004905E1" w:rsidRDefault="00000000" w:rsidP="00DA212F">
      <w:pPr>
        <w:keepNext/>
        <w:spacing w:after="120" w:line="360" w:lineRule="auto"/>
        <w:jc w:val="center"/>
        <w:rPr>
          <w:rFonts w:ascii="Arial" w:hAnsi="Arial" w:cs="Arial"/>
        </w:rPr>
      </w:pPr>
      <w:r>
        <w:rPr>
          <w:rFonts w:ascii="Arial" w:hAnsi="Arial" w:cs="Arial"/>
          <w:noProof/>
        </w:rPr>
        <w:drawing>
          <wp:inline distT="0" distB="0" distL="0" distR="0" wp14:anchorId="1B5A18F7" wp14:editId="6A7C8E60">
            <wp:extent cx="5943600" cy="1631416"/>
            <wp:effectExtent l="0" t="0" r="0" b="0"/>
            <wp:docPr id="501" name="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Figura 1"/>
                    <pic:cNvPicPr/>
                  </pic:nvPicPr>
                  <pic:blipFill>
                    <a:blip r:embed="rId8"/>
                    <a:stretch>
                      <a:fillRect/>
                    </a:stretch>
                  </pic:blipFill>
                  <pic:spPr>
                    <a:xfrm>
                      <a:off x="0" y="0"/>
                      <a:ext cx="5943600" cy="1631416"/>
                    </a:xfrm>
                    <a:prstGeom prst="rect">
                      <a:avLst/>
                    </a:prstGeom>
                    <a:ln w="6350">
                      <a:solidFill>
                        <a:srgbClr val="BFBFBF"/>
                      </a:solidFill>
                    </a:ln>
                  </pic:spPr>
                </pic:pic>
              </a:graphicData>
            </a:graphic>
          </wp:inline>
        </w:drawing>
      </w:r>
    </w:p>
    <w:p w14:paraId="18285CD6" w14:textId="5A9A359B" w:rsidR="00D24090" w:rsidRDefault="00D24090" w:rsidP="00DA212F">
      <w:pPr>
        <w:keepNext/>
        <w:spacing w:after="120" w:line="360" w:lineRule="auto"/>
        <w:jc w:val="center"/>
        <w:rPr>
          <w:rFonts w:ascii="Arial" w:hAnsi="Arial" w:cs="Arial"/>
        </w:rPr>
      </w:pPr>
    </w:p>
    <w:p w14:paraId="75FF693B" w14:textId="4B5FB943" w:rsidR="004905E1" w:rsidRDefault="00000000" w:rsidP="00DA212F">
      <w:pPr>
        <w:spacing w:line="360" w:lineRule="auto"/>
        <w:jc w:val="both"/>
        <w:rPr>
          <w:rFonts w:ascii="Arial" w:hAnsi="Arial" w:cs="Arial"/>
        </w:rPr>
      </w:pPr>
      <w:r>
        <w:rPr>
          <w:rFonts w:ascii="Arial" w:hAnsi="Arial" w:cs="Arial"/>
          <w:sz w:val="24"/>
          <w:szCs w:val="24"/>
        </w:rPr>
        <w:t>Captura de pantalla de la herramienta de analítica web del portal institucional, correspondiente al periodo del 31 de julio al 30 de septiembre de 2026. Las variaciones porcentuales se expresan en comparación con los 62 días anteriores.</w:t>
      </w:r>
    </w:p>
    <w:p w14:paraId="673C3DBA" w14:textId="77777777" w:rsidR="005B435F" w:rsidRDefault="005B435F" w:rsidP="00DA212F">
      <w:pPr>
        <w:keepNext/>
        <w:spacing w:line="360" w:lineRule="auto"/>
        <w:rPr>
          <w:rFonts w:ascii="Arial" w:hAnsi="Arial" w:cs="Arial"/>
          <w:b/>
          <w:bCs/>
          <w:sz w:val="24"/>
          <w:szCs w:val="24"/>
        </w:rPr>
      </w:pPr>
    </w:p>
    <w:p w14:paraId="0FE639FB" w14:textId="77777777" w:rsidR="005B435F" w:rsidRDefault="005B435F" w:rsidP="00DA212F">
      <w:pPr>
        <w:keepNext/>
        <w:spacing w:line="360" w:lineRule="auto"/>
        <w:rPr>
          <w:rFonts w:ascii="Arial" w:hAnsi="Arial" w:cs="Arial"/>
          <w:b/>
          <w:bCs/>
          <w:sz w:val="24"/>
          <w:szCs w:val="24"/>
        </w:rPr>
      </w:pPr>
    </w:p>
    <w:p w14:paraId="3D070B39" w14:textId="617BD8E2" w:rsidR="004905E1" w:rsidRPr="005B435F" w:rsidRDefault="00000000" w:rsidP="00DA212F">
      <w:pPr>
        <w:keepNext/>
        <w:spacing w:line="360" w:lineRule="auto"/>
        <w:rPr>
          <w:rFonts w:ascii="Arial" w:hAnsi="Arial" w:cs="Arial"/>
          <w:b/>
          <w:bCs/>
        </w:rPr>
      </w:pPr>
      <w:r w:rsidRPr="005B435F">
        <w:rPr>
          <w:rFonts w:ascii="Arial" w:hAnsi="Arial" w:cs="Arial"/>
          <w:b/>
          <w:bCs/>
          <w:sz w:val="24"/>
          <w:szCs w:val="24"/>
        </w:rPr>
        <w:t>Sección «Hitos» del Portal Institucional de la SEPREM</w:t>
      </w:r>
    </w:p>
    <w:p w14:paraId="52464BF1" w14:textId="77777777" w:rsidR="004905E1" w:rsidRDefault="00000000" w:rsidP="00DA212F">
      <w:pPr>
        <w:keepNext/>
        <w:spacing w:after="120" w:line="360" w:lineRule="auto"/>
        <w:jc w:val="center"/>
        <w:rPr>
          <w:rFonts w:ascii="Arial" w:hAnsi="Arial" w:cs="Arial"/>
        </w:rPr>
      </w:pPr>
      <w:r>
        <w:rPr>
          <w:rFonts w:ascii="Arial" w:hAnsi="Arial" w:cs="Arial"/>
          <w:noProof/>
        </w:rPr>
        <w:drawing>
          <wp:inline distT="0" distB="0" distL="0" distR="0" wp14:anchorId="476EE020" wp14:editId="03991102">
            <wp:extent cx="5943600" cy="3098102"/>
            <wp:effectExtent l="0" t="0" r="0" b="0"/>
            <wp:docPr id="502" name="Fig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Figura 2"/>
                    <pic:cNvPicPr/>
                  </pic:nvPicPr>
                  <pic:blipFill>
                    <a:blip r:embed="rId9"/>
                    <a:stretch>
                      <a:fillRect/>
                    </a:stretch>
                  </pic:blipFill>
                  <pic:spPr>
                    <a:xfrm>
                      <a:off x="0" y="0"/>
                      <a:ext cx="5943600" cy="3098102"/>
                    </a:xfrm>
                    <a:prstGeom prst="rect">
                      <a:avLst/>
                    </a:prstGeom>
                    <a:ln w="6350">
                      <a:solidFill>
                        <a:srgbClr val="BFBFBF"/>
                      </a:solidFill>
                    </a:ln>
                  </pic:spPr>
                </pic:pic>
              </a:graphicData>
            </a:graphic>
          </wp:inline>
        </w:drawing>
      </w:r>
    </w:p>
    <w:p w14:paraId="3766C63D" w14:textId="667F4427" w:rsidR="004905E1" w:rsidRPr="005B435F" w:rsidRDefault="00000000" w:rsidP="005B435F">
      <w:pPr>
        <w:keepNext/>
        <w:pageBreakBefore/>
        <w:spacing w:line="360" w:lineRule="auto"/>
        <w:rPr>
          <w:rFonts w:ascii="Arial" w:hAnsi="Arial" w:cs="Arial"/>
        </w:rPr>
      </w:pPr>
      <w:r w:rsidRPr="005B435F">
        <w:rPr>
          <w:rFonts w:ascii="Arial" w:hAnsi="Arial" w:cs="Arial"/>
          <w:b/>
          <w:bCs/>
          <w:sz w:val="24"/>
          <w:szCs w:val="24"/>
        </w:rPr>
        <w:lastRenderedPageBreak/>
        <w:t>Documentos Publicados en la Sección «Hitos» por Categoría</w:t>
      </w:r>
    </w:p>
    <w:p w14:paraId="7CCFDD9C" w14:textId="77777777" w:rsidR="004905E1" w:rsidRDefault="00000000" w:rsidP="00DA212F">
      <w:pPr>
        <w:keepNext/>
        <w:spacing w:after="120" w:line="360" w:lineRule="auto"/>
        <w:jc w:val="center"/>
        <w:rPr>
          <w:rFonts w:ascii="Arial" w:hAnsi="Arial" w:cs="Arial"/>
        </w:rPr>
      </w:pPr>
      <w:r>
        <w:rPr>
          <w:rFonts w:ascii="Arial" w:hAnsi="Arial" w:cs="Arial"/>
          <w:noProof/>
        </w:rPr>
        <w:drawing>
          <wp:inline distT="0" distB="0" distL="0" distR="0" wp14:anchorId="222E23FD" wp14:editId="5F276578">
            <wp:extent cx="4754880" cy="3236251"/>
            <wp:effectExtent l="0" t="0" r="0" b="0"/>
            <wp:docPr id="503" name="Figura 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Figura 3a"/>
                    <pic:cNvPicPr/>
                  </pic:nvPicPr>
                  <pic:blipFill>
                    <a:blip r:embed="rId10"/>
                    <a:stretch>
                      <a:fillRect/>
                    </a:stretch>
                  </pic:blipFill>
                  <pic:spPr>
                    <a:xfrm>
                      <a:off x="0" y="0"/>
                      <a:ext cx="4754880" cy="3236251"/>
                    </a:xfrm>
                    <a:prstGeom prst="rect">
                      <a:avLst/>
                    </a:prstGeom>
                    <a:ln w="6350">
                      <a:solidFill>
                        <a:srgbClr val="BFBFBF"/>
                      </a:solidFill>
                    </a:ln>
                  </pic:spPr>
                </pic:pic>
              </a:graphicData>
            </a:graphic>
          </wp:inline>
        </w:drawing>
      </w:r>
    </w:p>
    <w:p w14:paraId="4D75A680" w14:textId="77777777" w:rsidR="004905E1" w:rsidRDefault="00000000" w:rsidP="00DA212F">
      <w:pPr>
        <w:keepNext/>
        <w:spacing w:after="120" w:line="360" w:lineRule="auto"/>
        <w:jc w:val="center"/>
        <w:rPr>
          <w:rFonts w:ascii="Arial" w:hAnsi="Arial" w:cs="Arial"/>
        </w:rPr>
      </w:pPr>
      <w:r>
        <w:rPr>
          <w:rFonts w:ascii="Arial" w:hAnsi="Arial" w:cs="Arial"/>
          <w:noProof/>
        </w:rPr>
        <w:drawing>
          <wp:inline distT="0" distB="0" distL="0" distR="0" wp14:anchorId="056C8E27" wp14:editId="66865273">
            <wp:extent cx="4754880" cy="2385321"/>
            <wp:effectExtent l="0" t="0" r="0" b="0"/>
            <wp:docPr id="504" name="Figura 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Figura 3b"/>
                    <pic:cNvPicPr/>
                  </pic:nvPicPr>
                  <pic:blipFill>
                    <a:blip r:embed="rId11"/>
                    <a:stretch>
                      <a:fillRect/>
                    </a:stretch>
                  </pic:blipFill>
                  <pic:spPr>
                    <a:xfrm>
                      <a:off x="0" y="0"/>
                      <a:ext cx="4754880" cy="2385321"/>
                    </a:xfrm>
                    <a:prstGeom prst="rect">
                      <a:avLst/>
                    </a:prstGeom>
                    <a:ln w="6350">
                      <a:solidFill>
                        <a:srgbClr val="BFBFBF"/>
                      </a:solidFill>
                    </a:ln>
                  </pic:spPr>
                </pic:pic>
              </a:graphicData>
            </a:graphic>
          </wp:inline>
        </w:drawing>
      </w:r>
    </w:p>
    <w:p w14:paraId="35816E04" w14:textId="4467E97B" w:rsidR="004905E1" w:rsidRDefault="00000000" w:rsidP="00DA212F">
      <w:pPr>
        <w:spacing w:line="360" w:lineRule="auto"/>
        <w:jc w:val="both"/>
        <w:rPr>
          <w:rFonts w:ascii="Arial" w:hAnsi="Arial" w:cs="Arial"/>
        </w:rPr>
      </w:pPr>
      <w:r>
        <w:rPr>
          <w:rFonts w:ascii="Arial" w:hAnsi="Arial" w:cs="Arial"/>
          <w:sz w:val="24"/>
          <w:szCs w:val="24"/>
        </w:rPr>
        <w:t xml:space="preserve">Capturas de pantalla de </w:t>
      </w:r>
      <w:hyperlink r:id="rId12" w:history="1">
        <w:r w:rsidR="00F831F7" w:rsidRPr="00AC3140">
          <w:rPr>
            <w:rStyle w:val="Hipervnculo"/>
            <w:rFonts w:ascii="Arial" w:hAnsi="Arial" w:cs="Arial"/>
            <w:sz w:val="24"/>
            <w:szCs w:val="24"/>
          </w:rPr>
          <w:t>https://seprem.gob.gt/hitos/</w:t>
        </w:r>
      </w:hyperlink>
      <w:r>
        <w:rPr>
          <w:rFonts w:ascii="Arial" w:hAnsi="Arial" w:cs="Arial"/>
          <w:sz w:val="24"/>
          <w:szCs w:val="24"/>
        </w:rPr>
        <w:t>, en las que se visualizan los documentos publicados en las categorías Tratados y convenios internacionales, Informes CEDAW e Informes Belém do Pará.</w:t>
      </w:r>
    </w:p>
    <w:sectPr w:rsidR="004905E1">
      <w:headerReference w:type="default" r:id="rId13"/>
      <w:footerReference w:type="default" r:id="rId14"/>
      <w:pgSz w:w="12240" w:h="15840"/>
      <w:pgMar w:top="1600" w:right="1440" w:bottom="1440" w:left="1440" w:header="7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8CEDD" w14:textId="77777777" w:rsidR="001A796B" w:rsidRDefault="001A796B">
      <w:r>
        <w:separator/>
      </w:r>
    </w:p>
  </w:endnote>
  <w:endnote w:type="continuationSeparator" w:id="0">
    <w:p w14:paraId="4D1F9782" w14:textId="77777777" w:rsidR="001A796B" w:rsidRDefault="001A7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4B1A" w14:textId="77777777" w:rsidR="0085030F" w:rsidRDefault="00000000">
    <w:pPr>
      <w:pStyle w:val="Piedepgina"/>
    </w:pPr>
    <w:r>
      <w:rPr>
        <w:noProof/>
      </w:rPr>
      <w:drawing>
        <wp:anchor distT="0" distB="0" distL="114300" distR="114300" simplePos="0" relativeHeight="251659264" behindDoc="0" locked="0" layoutInCell="1" allowOverlap="1" wp14:anchorId="0C693391" wp14:editId="3AEBF920">
          <wp:simplePos x="0" y="0"/>
          <wp:positionH relativeFrom="margin">
            <wp:align>center</wp:align>
          </wp:positionH>
          <wp:positionV relativeFrom="paragraph">
            <wp:posOffset>-312420</wp:posOffset>
          </wp:positionV>
          <wp:extent cx="5753100" cy="689610"/>
          <wp:effectExtent l="0" t="0" r="0" b="0"/>
          <wp:wrapNone/>
          <wp:docPr id="5795582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58295" name="Imagen 1"/>
                  <pic:cNvPicPr>
                    <a:picLocks noChangeAspect="1"/>
                  </pic:cNvPicPr>
                </pic:nvPicPr>
                <pic:blipFill rotWithShape="1">
                  <a:blip r:embed="rId1">
                    <a:extLst>
                      <a:ext uri="{28A0092B-C50C-407E-A947-70E740481C1C}">
                        <a14:useLocalDpi xmlns:a14="http://schemas.microsoft.com/office/drawing/2010/main" val="0"/>
                      </a:ext>
                    </a:extLst>
                  </a:blip>
                  <a:srcRect l="7606" r="7324"/>
                  <a:stretch>
                    <a:fillRect/>
                  </a:stretch>
                </pic:blipFill>
                <pic:spPr bwMode="auto">
                  <a:xfrm>
                    <a:off x="0" y="0"/>
                    <a:ext cx="5753100" cy="689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7B479" w14:textId="77777777" w:rsidR="001A796B" w:rsidRDefault="001A796B">
      <w:r>
        <w:separator/>
      </w:r>
    </w:p>
  </w:footnote>
  <w:footnote w:type="continuationSeparator" w:id="0">
    <w:p w14:paraId="604E59D9" w14:textId="77777777" w:rsidR="001A796B" w:rsidRDefault="001A7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400"/>
    </w:tblGrid>
    <w:tr w:rsidR="00E77AC4" w14:paraId="132CB32F" w14:textId="77777777" w:rsidTr="005B435F">
      <w:tc>
        <w:tcPr>
          <w:tcW w:w="240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vAlign w:val="center"/>
        </w:tcPr>
        <w:p w14:paraId="6BAE2775" w14:textId="59AFCD55" w:rsidR="0085030F" w:rsidRDefault="0085030F" w:rsidP="005B435F">
          <w:pPr>
            <w:jc w:val="right"/>
          </w:pPr>
        </w:p>
      </w:tc>
    </w:tr>
  </w:tbl>
  <w:p w14:paraId="34E2D955" w14:textId="48650D18" w:rsidR="0085030F" w:rsidRDefault="005B435F">
    <w:pPr>
      <w:spacing w:after="160"/>
    </w:pPr>
    <w:r>
      <w:rPr>
        <w:noProof/>
      </w:rPr>
      <w:drawing>
        <wp:anchor distT="0" distB="0" distL="114300" distR="114300" simplePos="0" relativeHeight="251660288" behindDoc="1" locked="0" layoutInCell="1" allowOverlap="1" wp14:anchorId="03868645" wp14:editId="29F4D79A">
          <wp:simplePos x="0" y="0"/>
          <wp:positionH relativeFrom="margin">
            <wp:posOffset>5104784</wp:posOffset>
          </wp:positionH>
          <wp:positionV relativeFrom="paragraph">
            <wp:posOffset>-337507</wp:posOffset>
          </wp:positionV>
          <wp:extent cx="784225" cy="771525"/>
          <wp:effectExtent l="0" t="0" r="0" b="9525"/>
          <wp:wrapTight wrapText="bothSides">
            <wp:wrapPolygon edited="0">
              <wp:start x="0" y="0"/>
              <wp:lineTo x="0" y="21333"/>
              <wp:lineTo x="20988" y="21333"/>
              <wp:lineTo x="20988" y="0"/>
              <wp:lineTo x="0" y="0"/>
            </wp:wrapPolygon>
          </wp:wrapTight>
          <wp:docPr id="808787206" name="Imagen 808787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225" cy="7715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39" behindDoc="0" locked="0" layoutInCell="1" allowOverlap="1" wp14:anchorId="64AFF940" wp14:editId="1DED3159">
          <wp:simplePos x="0" y="0"/>
          <wp:positionH relativeFrom="column">
            <wp:posOffset>-149860</wp:posOffset>
          </wp:positionH>
          <wp:positionV relativeFrom="paragraph">
            <wp:posOffset>-423545</wp:posOffset>
          </wp:positionV>
          <wp:extent cx="2059983" cy="838200"/>
          <wp:effectExtent l="0" t="0" r="0" b="0"/>
          <wp:wrapNone/>
          <wp:docPr id="720322252" name="Imagen 72032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9940" cy="838200"/>
                  </a:xfrm>
                  <a:prstGeom prst="rect">
                    <a:avLst/>
                  </a:prstGeom>
                </pic:spPr>
              </pic:pic>
            </a:graphicData>
          </a:graphic>
          <wp14:sizeRelH relativeFrom="page">
            <wp14:pctWidth>0</wp14:pctWidth>
          </wp14:sizeRelH>
          <wp14:sizeRelV relativeFrom="page">
            <wp14:pctHeight>0</wp14:pctHeight>
          </wp14:sizeRelV>
        </wp:anchor>
      </w:drawing>
    </w:r>
  </w:p>
  <w:p w14:paraId="7DB861C0" w14:textId="77777777" w:rsidR="0085030F" w:rsidRDefault="0085030F">
    <w:pPr>
      <w:spacing w:after="160"/>
    </w:pPr>
  </w:p>
  <w:p w14:paraId="258AF4B8" w14:textId="77777777" w:rsidR="0085030F" w:rsidRDefault="0085030F">
    <w:pP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12567"/>
    <w:multiLevelType w:val="hybridMultilevel"/>
    <w:tmpl w:val="4A589FBE"/>
    <w:lvl w:ilvl="0" w:tplc="C1E02D4E">
      <w:start w:val="1"/>
      <w:numFmt w:val="bullet"/>
      <w:lvlText w:val="•"/>
      <w:lvlJc w:val="left"/>
      <w:pPr>
        <w:ind w:left="1080" w:hanging="360"/>
      </w:pPr>
    </w:lvl>
    <w:lvl w:ilvl="1" w:tplc="83A861B0">
      <w:numFmt w:val="decimal"/>
      <w:lvlText w:val=""/>
      <w:lvlJc w:val="left"/>
    </w:lvl>
    <w:lvl w:ilvl="2" w:tplc="FAB6B9CE">
      <w:numFmt w:val="decimal"/>
      <w:lvlText w:val=""/>
      <w:lvlJc w:val="left"/>
    </w:lvl>
    <w:lvl w:ilvl="3" w:tplc="93D83692">
      <w:numFmt w:val="decimal"/>
      <w:lvlText w:val=""/>
      <w:lvlJc w:val="left"/>
    </w:lvl>
    <w:lvl w:ilvl="4" w:tplc="D1842EC8">
      <w:numFmt w:val="decimal"/>
      <w:lvlText w:val=""/>
      <w:lvlJc w:val="left"/>
    </w:lvl>
    <w:lvl w:ilvl="5" w:tplc="3356CBD2">
      <w:numFmt w:val="decimal"/>
      <w:lvlText w:val=""/>
      <w:lvlJc w:val="left"/>
    </w:lvl>
    <w:lvl w:ilvl="6" w:tplc="BFC47C50">
      <w:numFmt w:val="decimal"/>
      <w:lvlText w:val=""/>
      <w:lvlJc w:val="left"/>
    </w:lvl>
    <w:lvl w:ilvl="7" w:tplc="8BC690B6">
      <w:numFmt w:val="decimal"/>
      <w:lvlText w:val=""/>
      <w:lvlJc w:val="left"/>
    </w:lvl>
    <w:lvl w:ilvl="8" w:tplc="39EEE3D6">
      <w:numFmt w:val="decimal"/>
      <w:lvlText w:val=""/>
      <w:lvlJc w:val="left"/>
    </w:lvl>
  </w:abstractNum>
  <w:abstractNum w:abstractNumId="1" w15:restartNumberingAfterBreak="0">
    <w:nsid w:val="48A9425A"/>
    <w:multiLevelType w:val="hybridMultilevel"/>
    <w:tmpl w:val="9E6AD6F0"/>
    <w:lvl w:ilvl="0" w:tplc="5E3810F2">
      <w:start w:val="1"/>
      <w:numFmt w:val="bullet"/>
      <w:lvlText w:val="●"/>
      <w:lvlJc w:val="left"/>
      <w:pPr>
        <w:ind w:left="720" w:hanging="360"/>
      </w:pPr>
    </w:lvl>
    <w:lvl w:ilvl="1" w:tplc="91C0FCBA">
      <w:start w:val="1"/>
      <w:numFmt w:val="bullet"/>
      <w:lvlText w:val="○"/>
      <w:lvlJc w:val="left"/>
      <w:pPr>
        <w:ind w:left="1440" w:hanging="360"/>
      </w:pPr>
    </w:lvl>
    <w:lvl w:ilvl="2" w:tplc="EF4E0C58">
      <w:start w:val="1"/>
      <w:numFmt w:val="bullet"/>
      <w:lvlText w:val="■"/>
      <w:lvlJc w:val="left"/>
      <w:pPr>
        <w:ind w:left="2160" w:hanging="360"/>
      </w:pPr>
    </w:lvl>
    <w:lvl w:ilvl="3" w:tplc="F48AE57A">
      <w:start w:val="1"/>
      <w:numFmt w:val="bullet"/>
      <w:lvlText w:val="●"/>
      <w:lvlJc w:val="left"/>
      <w:pPr>
        <w:ind w:left="2880" w:hanging="360"/>
      </w:pPr>
    </w:lvl>
    <w:lvl w:ilvl="4" w:tplc="02B4F1FE">
      <w:start w:val="1"/>
      <w:numFmt w:val="bullet"/>
      <w:lvlText w:val="○"/>
      <w:lvlJc w:val="left"/>
      <w:pPr>
        <w:ind w:left="3600" w:hanging="360"/>
      </w:pPr>
    </w:lvl>
    <w:lvl w:ilvl="5" w:tplc="380224F2">
      <w:start w:val="1"/>
      <w:numFmt w:val="bullet"/>
      <w:lvlText w:val="■"/>
      <w:lvlJc w:val="left"/>
      <w:pPr>
        <w:ind w:left="4320" w:hanging="360"/>
      </w:pPr>
    </w:lvl>
    <w:lvl w:ilvl="6" w:tplc="B9BCECAE">
      <w:start w:val="1"/>
      <w:numFmt w:val="bullet"/>
      <w:lvlText w:val="●"/>
      <w:lvlJc w:val="left"/>
      <w:pPr>
        <w:ind w:left="5040" w:hanging="360"/>
      </w:pPr>
    </w:lvl>
    <w:lvl w:ilvl="7" w:tplc="83DCEF4E">
      <w:start w:val="1"/>
      <w:numFmt w:val="bullet"/>
      <w:lvlText w:val="●"/>
      <w:lvlJc w:val="left"/>
      <w:pPr>
        <w:ind w:left="5760" w:hanging="360"/>
      </w:pPr>
    </w:lvl>
    <w:lvl w:ilvl="8" w:tplc="221E4280">
      <w:start w:val="1"/>
      <w:numFmt w:val="bullet"/>
      <w:lvlText w:val="●"/>
      <w:lvlJc w:val="left"/>
      <w:pPr>
        <w:ind w:left="6480" w:hanging="360"/>
      </w:pPr>
    </w:lvl>
  </w:abstractNum>
  <w:num w:numId="1" w16cid:durableId="628779238">
    <w:abstractNumId w:val="1"/>
    <w:lvlOverride w:ilvl="0">
      <w:startOverride w:val="1"/>
    </w:lvlOverride>
  </w:num>
  <w:num w:numId="2" w16cid:durableId="70984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3C3"/>
    <w:rsid w:val="000C5F75"/>
    <w:rsid w:val="0013310D"/>
    <w:rsid w:val="0015483A"/>
    <w:rsid w:val="001A796B"/>
    <w:rsid w:val="002A3E8C"/>
    <w:rsid w:val="004905E1"/>
    <w:rsid w:val="004A2EFF"/>
    <w:rsid w:val="004C64EF"/>
    <w:rsid w:val="005A6819"/>
    <w:rsid w:val="005B435F"/>
    <w:rsid w:val="006558AB"/>
    <w:rsid w:val="00711A88"/>
    <w:rsid w:val="007873C3"/>
    <w:rsid w:val="0085030F"/>
    <w:rsid w:val="009063EC"/>
    <w:rsid w:val="009503E7"/>
    <w:rsid w:val="009D73AF"/>
    <w:rsid w:val="00AB02C8"/>
    <w:rsid w:val="00AC1F22"/>
    <w:rsid w:val="00AD2FC9"/>
    <w:rsid w:val="00AE4E89"/>
    <w:rsid w:val="00B3489C"/>
    <w:rsid w:val="00B82B30"/>
    <w:rsid w:val="00C541D7"/>
    <w:rsid w:val="00D24090"/>
    <w:rsid w:val="00DA212F"/>
    <w:rsid w:val="00F021DF"/>
    <w:rsid w:val="00F33F3B"/>
    <w:rsid w:val="00F831F7"/>
    <w:rsid w:val="00FC6271"/>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9F37"/>
  <w15:docId w15:val="{57A7683A-E814-438C-99D8-87BB96DE2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993FBB"/>
    <w:pPr>
      <w:tabs>
        <w:tab w:val="center" w:pos="4419"/>
        <w:tab w:val="right" w:pos="8838"/>
      </w:tabs>
    </w:pPr>
  </w:style>
  <w:style w:type="character" w:customStyle="1" w:styleId="EncabezadoCar">
    <w:name w:val="Encabezado Car"/>
    <w:basedOn w:val="Fuentedeprrafopredeter"/>
    <w:link w:val="Encabezado"/>
    <w:uiPriority w:val="99"/>
    <w:rsid w:val="00993FBB"/>
  </w:style>
  <w:style w:type="paragraph" w:styleId="Piedepgina">
    <w:name w:val="footer"/>
    <w:basedOn w:val="Normal"/>
    <w:link w:val="PiedepginaCar"/>
    <w:uiPriority w:val="99"/>
    <w:unhideWhenUsed/>
    <w:rsid w:val="00993FBB"/>
    <w:pPr>
      <w:tabs>
        <w:tab w:val="center" w:pos="4419"/>
        <w:tab w:val="right" w:pos="8838"/>
      </w:tabs>
    </w:pPr>
  </w:style>
  <w:style w:type="character" w:customStyle="1" w:styleId="PiedepginaCar">
    <w:name w:val="Pie de página Car"/>
    <w:basedOn w:val="Fuentedeprrafopredeter"/>
    <w:link w:val="Piedepgina"/>
    <w:uiPriority w:val="99"/>
    <w:rsid w:val="00993FBB"/>
  </w:style>
  <w:style w:type="character" w:styleId="Mencinsinresolver">
    <w:name w:val="Unresolved Mention"/>
    <w:basedOn w:val="Fuentedeprrafopredeter"/>
    <w:uiPriority w:val="99"/>
    <w:semiHidden/>
    <w:unhideWhenUsed/>
    <w:rsid w:val="00F83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prem.gob.gt/hitos/" TargetMode="External"/><Relationship Id="rId12" Type="http://schemas.openxmlformats.org/officeDocument/2006/relationships/hyperlink" Target="https://seprem.gob.gt/hito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2970</TotalTime>
  <Pages>7</Pages>
  <Words>1311</Words>
  <Characters>7211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Infraestructura</cp:lastModifiedBy>
  <cp:revision>17</cp:revision>
  <dcterms:created xsi:type="dcterms:W3CDTF">2026-09-08T20:16:00Z</dcterms:created>
  <dcterms:modified xsi:type="dcterms:W3CDTF">2026-10-01T01:14:00Z</dcterms:modified>
</cp:coreProperties>
</file>